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1DD38" w14:textId="52886727" w:rsidR="00B47600" w:rsidRDefault="00390366" w:rsidP="00780860">
      <w:pPr>
        <w:jc w:val="center"/>
        <w:rPr>
          <w:rFonts w:ascii="Arial" w:hAnsi="Arial" w:cs="Arial"/>
          <w:b/>
          <w:bCs/>
          <w:i/>
          <w:iCs/>
          <w:sz w:val="24"/>
          <w:szCs w:val="24"/>
          <w:lang w:val="it-IT"/>
        </w:rPr>
      </w:pPr>
      <w:r w:rsidRPr="00390366">
        <w:rPr>
          <w:rFonts w:ascii="Arial" w:hAnsi="Arial" w:cs="Arial"/>
          <w:b/>
          <w:bCs/>
          <w:i/>
          <w:iCs/>
          <w:sz w:val="24"/>
          <w:szCs w:val="24"/>
          <w:lang w:val="x-none"/>
        </w:rPr>
        <w:t>DOCUMENTO PER LA CONSULTAZIONE</w:t>
      </w:r>
      <w:r>
        <w:rPr>
          <w:rFonts w:ascii="Arial" w:hAnsi="Arial" w:cs="Arial"/>
          <w:b/>
          <w:bCs/>
          <w:i/>
          <w:iCs/>
          <w:sz w:val="24"/>
          <w:szCs w:val="24"/>
          <w:lang w:val="it-IT"/>
        </w:rPr>
        <w:t xml:space="preserve"> ARERA</w:t>
      </w:r>
      <w:r w:rsidR="00B47600">
        <w:rPr>
          <w:rFonts w:ascii="Arial" w:hAnsi="Arial" w:cs="Arial"/>
          <w:b/>
          <w:bCs/>
          <w:i/>
          <w:iCs/>
          <w:sz w:val="24"/>
          <w:szCs w:val="24"/>
          <w:lang w:val="it-IT"/>
        </w:rPr>
        <w:t xml:space="preserve"> </w:t>
      </w:r>
      <w:r w:rsidR="00B46B7C">
        <w:rPr>
          <w:rFonts w:ascii="Arial" w:hAnsi="Arial" w:cs="Arial"/>
          <w:b/>
          <w:bCs/>
          <w:i/>
          <w:iCs/>
          <w:sz w:val="24"/>
          <w:szCs w:val="24"/>
          <w:lang w:val="it-IT"/>
        </w:rPr>
        <w:t>282</w:t>
      </w:r>
      <w:r w:rsidRPr="00390366">
        <w:rPr>
          <w:rFonts w:ascii="Arial" w:hAnsi="Arial" w:cs="Arial"/>
          <w:b/>
          <w:bCs/>
          <w:i/>
          <w:iCs/>
          <w:sz w:val="24"/>
          <w:szCs w:val="24"/>
          <w:lang w:val="x-none"/>
        </w:rPr>
        <w:t>/2021/R/RIF</w:t>
      </w:r>
    </w:p>
    <w:p w14:paraId="329866B9" w14:textId="34B8C0B2" w:rsidR="00390366" w:rsidRPr="00B46B7C" w:rsidRDefault="00377C8C" w:rsidP="00780860">
      <w:pPr>
        <w:jc w:val="center"/>
        <w:rPr>
          <w:rFonts w:ascii="Arial" w:hAnsi="Arial" w:cs="Arial"/>
          <w:b/>
          <w:bCs/>
          <w:i/>
          <w:iCs/>
          <w:sz w:val="24"/>
          <w:szCs w:val="24"/>
          <w:lang w:val="it-IT"/>
        </w:rPr>
      </w:pPr>
      <w:r w:rsidRPr="00377C8C">
        <w:rPr>
          <w:rFonts w:ascii="Arial" w:hAnsi="Arial" w:cs="Arial"/>
          <w:b/>
          <w:bCs/>
          <w:i/>
          <w:iCs/>
          <w:sz w:val="24"/>
          <w:szCs w:val="24"/>
          <w:lang w:val="x-none"/>
        </w:rPr>
        <w:t>DEFINIZIONE DEL METODO</w:t>
      </w:r>
      <w:r>
        <w:rPr>
          <w:rFonts w:ascii="Arial" w:hAnsi="Arial" w:cs="Arial"/>
          <w:b/>
          <w:bCs/>
          <w:i/>
          <w:iCs/>
          <w:sz w:val="24"/>
          <w:szCs w:val="24"/>
          <w:lang w:val="it-IT"/>
        </w:rPr>
        <w:t xml:space="preserve"> </w:t>
      </w:r>
      <w:r w:rsidRPr="00377C8C">
        <w:rPr>
          <w:rFonts w:ascii="Arial" w:hAnsi="Arial" w:cs="Arial"/>
          <w:b/>
          <w:bCs/>
          <w:i/>
          <w:iCs/>
          <w:sz w:val="24"/>
          <w:szCs w:val="24"/>
          <w:lang w:val="x-none"/>
        </w:rPr>
        <w:t>TARIFFARIO RIFIUTI PER IL SECONDO PERIODO REGOLATORIO</w:t>
      </w:r>
      <w:r>
        <w:rPr>
          <w:rFonts w:ascii="Arial" w:hAnsi="Arial" w:cs="Arial"/>
          <w:b/>
          <w:bCs/>
          <w:i/>
          <w:iCs/>
          <w:sz w:val="24"/>
          <w:szCs w:val="24"/>
          <w:lang w:val="it-IT"/>
        </w:rPr>
        <w:t xml:space="preserve"> </w:t>
      </w:r>
      <w:r w:rsidRPr="00377C8C">
        <w:rPr>
          <w:rFonts w:ascii="Arial" w:hAnsi="Arial" w:cs="Arial"/>
          <w:b/>
          <w:bCs/>
          <w:i/>
          <w:iCs/>
          <w:sz w:val="24"/>
          <w:szCs w:val="24"/>
          <w:lang w:val="x-none"/>
        </w:rPr>
        <w:t>(MTR-2)</w:t>
      </w:r>
      <w:r w:rsidR="00B46B7C">
        <w:rPr>
          <w:rFonts w:ascii="Arial" w:hAnsi="Arial" w:cs="Arial"/>
          <w:b/>
          <w:bCs/>
          <w:i/>
          <w:iCs/>
          <w:sz w:val="24"/>
          <w:szCs w:val="24"/>
          <w:lang w:val="it-IT"/>
        </w:rPr>
        <w:t xml:space="preserve"> – ORIENTAMENTI FINALI</w:t>
      </w:r>
    </w:p>
    <w:tbl>
      <w:tblPr>
        <w:tblStyle w:val="Grigliatabella"/>
        <w:tblW w:w="0" w:type="auto"/>
        <w:jc w:val="center"/>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4A0" w:firstRow="1" w:lastRow="0" w:firstColumn="1" w:lastColumn="0" w:noHBand="0" w:noVBand="1"/>
      </w:tblPr>
      <w:tblGrid>
        <w:gridCol w:w="8070"/>
      </w:tblGrid>
      <w:tr w:rsidR="00390366" w:rsidRPr="00780860" w14:paraId="20DB51CE" w14:textId="77777777" w:rsidTr="00780860">
        <w:trPr>
          <w:trHeight w:val="1684"/>
          <w:jc w:val="center"/>
        </w:trPr>
        <w:tc>
          <w:tcPr>
            <w:tcW w:w="8070" w:type="dxa"/>
          </w:tcPr>
          <w:p w14:paraId="7B3C7E78" w14:textId="77777777" w:rsidR="00390366" w:rsidRPr="00390366" w:rsidRDefault="00390366" w:rsidP="00390366">
            <w:pPr>
              <w:jc w:val="center"/>
              <w:rPr>
                <w:rFonts w:ascii="Century Gothic" w:eastAsia="Calibri" w:hAnsi="Century Gothic" w:cs="Times New Roman"/>
                <w:color w:val="FF0000"/>
                <w:sz w:val="24"/>
                <w:szCs w:val="24"/>
                <w:lang w:val="it-IT"/>
              </w:rPr>
            </w:pPr>
            <w:r w:rsidRPr="00390366">
              <w:rPr>
                <w:rFonts w:ascii="Century Gothic" w:eastAsia="Calibri" w:hAnsi="Century Gothic" w:cs="Times New Roman"/>
                <w:color w:val="FF0000"/>
                <w:sz w:val="24"/>
                <w:szCs w:val="24"/>
                <w:lang w:val="it-IT"/>
              </w:rPr>
              <w:t>DI seguito sono riportati i quesiti posti dall’Autorità. Pe rispondere è necessario consultare il documento di consultazione completo.</w:t>
            </w:r>
          </w:p>
          <w:p w14:paraId="4D17B082" w14:textId="108905E6" w:rsidR="00390366" w:rsidRDefault="00390366" w:rsidP="00390366">
            <w:pPr>
              <w:jc w:val="center"/>
              <w:rPr>
                <w:rFonts w:ascii="Arial" w:hAnsi="Arial" w:cs="Arial"/>
                <w:b/>
                <w:bCs/>
                <w:i/>
                <w:iCs/>
                <w:sz w:val="24"/>
                <w:szCs w:val="24"/>
                <w:lang w:val="x-none"/>
              </w:rPr>
            </w:pPr>
            <w:r w:rsidRPr="00390366">
              <w:rPr>
                <w:rFonts w:ascii="Century Gothic" w:eastAsia="Calibri" w:hAnsi="Century Gothic" w:cs="Times New Roman"/>
                <w:color w:val="FF0000"/>
                <w:sz w:val="24"/>
                <w:szCs w:val="24"/>
                <w:lang w:val="it-IT"/>
              </w:rPr>
              <w:t xml:space="preserve">Considerate le tempistiche fornite da ARERA, </w:t>
            </w:r>
            <w:r w:rsidR="00377C8C">
              <w:rPr>
                <w:rFonts w:ascii="Century Gothic" w:eastAsia="Calibri" w:hAnsi="Century Gothic" w:cs="Times New Roman"/>
                <w:color w:val="FF0000"/>
                <w:sz w:val="24"/>
                <w:szCs w:val="24"/>
                <w:lang w:val="it-IT"/>
              </w:rPr>
              <w:t xml:space="preserve">anche per gli opportuni approfondimenti associativi, </w:t>
            </w:r>
            <w:r w:rsidRPr="00390366">
              <w:rPr>
                <w:rFonts w:ascii="Century Gothic" w:eastAsia="Calibri" w:hAnsi="Century Gothic" w:cs="Times New Roman"/>
                <w:color w:val="FF0000"/>
                <w:sz w:val="24"/>
                <w:szCs w:val="24"/>
                <w:lang w:val="it-IT"/>
              </w:rPr>
              <w:t xml:space="preserve">si prega di rispondere ai quesiti </w:t>
            </w:r>
            <w:r w:rsidR="00975794" w:rsidRPr="00975794">
              <w:rPr>
                <w:rFonts w:ascii="Century Gothic" w:eastAsia="Calibri" w:hAnsi="Century Gothic" w:cs="Times New Roman"/>
                <w:b/>
                <w:bCs/>
                <w:color w:val="FF0000"/>
                <w:sz w:val="24"/>
                <w:szCs w:val="24"/>
                <w:u w:val="single"/>
                <w:lang w:val="it-IT"/>
              </w:rPr>
              <w:t>tassativamente</w:t>
            </w:r>
            <w:r w:rsidR="00975794">
              <w:rPr>
                <w:rFonts w:ascii="Century Gothic" w:eastAsia="Calibri" w:hAnsi="Century Gothic" w:cs="Times New Roman"/>
                <w:color w:val="FF0000"/>
                <w:sz w:val="24"/>
                <w:szCs w:val="24"/>
                <w:lang w:val="it-IT"/>
              </w:rPr>
              <w:t xml:space="preserve"> </w:t>
            </w:r>
            <w:r w:rsidRPr="00390366">
              <w:rPr>
                <w:rFonts w:ascii="Century Gothic" w:eastAsia="Calibri" w:hAnsi="Century Gothic" w:cs="Times New Roman"/>
                <w:color w:val="FF0000"/>
                <w:sz w:val="24"/>
                <w:szCs w:val="24"/>
                <w:lang w:val="it-IT"/>
              </w:rPr>
              <w:t xml:space="preserve">entro il </w:t>
            </w:r>
            <w:r w:rsidR="00B46B7C" w:rsidRPr="00B46B7C">
              <w:rPr>
                <w:rFonts w:ascii="Century Gothic" w:eastAsia="Calibri" w:hAnsi="Century Gothic" w:cs="Times New Roman"/>
                <w:b/>
                <w:bCs/>
                <w:color w:val="FF0000"/>
                <w:sz w:val="24"/>
                <w:szCs w:val="24"/>
                <w:u w:val="single"/>
                <w:lang w:val="it-IT"/>
              </w:rPr>
              <w:t>14 luglio</w:t>
            </w:r>
            <w:r w:rsidRPr="00B46B7C">
              <w:rPr>
                <w:rFonts w:ascii="Century Gothic" w:eastAsia="Calibri" w:hAnsi="Century Gothic" w:cs="Times New Roman"/>
                <w:b/>
                <w:bCs/>
                <w:color w:val="FF0000"/>
                <w:sz w:val="24"/>
                <w:szCs w:val="24"/>
                <w:u w:val="single"/>
                <w:lang w:val="it-IT"/>
              </w:rPr>
              <w:t xml:space="preserve"> 2021</w:t>
            </w:r>
            <w:r w:rsidRPr="00390366">
              <w:rPr>
                <w:rFonts w:ascii="Century Gothic" w:eastAsia="Calibri" w:hAnsi="Century Gothic" w:cs="Times New Roman"/>
                <w:color w:val="FF0000"/>
                <w:sz w:val="24"/>
                <w:szCs w:val="24"/>
                <w:lang w:val="it-IT"/>
              </w:rPr>
              <w:t xml:space="preserve"> completando il seguente format e inviandolo a </w:t>
            </w:r>
            <w:hyperlink r:id="rId5" w:history="1">
              <w:r w:rsidRPr="00390366">
                <w:rPr>
                  <w:rFonts w:ascii="Century Gothic" w:eastAsia="Calibri" w:hAnsi="Century Gothic" w:cs="Times New Roman"/>
                  <w:color w:val="FF0000"/>
                  <w:sz w:val="24"/>
                  <w:szCs w:val="24"/>
                  <w:u w:val="single"/>
                  <w:lang w:val="it-IT"/>
                </w:rPr>
                <w:t>l.tosto@fise.org</w:t>
              </w:r>
            </w:hyperlink>
          </w:p>
        </w:tc>
      </w:tr>
    </w:tbl>
    <w:p w14:paraId="0B0F5CE8" w14:textId="2226CAF5" w:rsidR="00390366" w:rsidRPr="00390366" w:rsidRDefault="00390366" w:rsidP="00390366">
      <w:pPr>
        <w:jc w:val="center"/>
        <w:rPr>
          <w:rFonts w:ascii="Arial" w:hAnsi="Arial" w:cs="Arial"/>
          <w:b/>
          <w:bCs/>
          <w:i/>
          <w:iCs/>
          <w:sz w:val="24"/>
          <w:szCs w:val="24"/>
          <w:lang w:val="it-IT"/>
        </w:rPr>
      </w:pPr>
      <w:r>
        <w:rPr>
          <w:rFonts w:ascii="Arial" w:hAnsi="Arial" w:cs="Arial"/>
          <w:b/>
          <w:bCs/>
          <w:i/>
          <w:iCs/>
          <w:sz w:val="24"/>
          <w:szCs w:val="24"/>
          <w:lang w:val="it-IT"/>
        </w:rPr>
        <w:t>***</w:t>
      </w:r>
    </w:p>
    <w:p w14:paraId="64603D8F" w14:textId="77777777" w:rsidR="00390366" w:rsidRDefault="00390366" w:rsidP="00390366">
      <w:pPr>
        <w:jc w:val="both"/>
        <w:rPr>
          <w:rFonts w:ascii="Arial" w:hAnsi="Arial" w:cs="Arial"/>
          <w:b/>
          <w:bCs/>
          <w:i/>
          <w:iCs/>
          <w:sz w:val="24"/>
          <w:szCs w:val="24"/>
          <w:lang w:val="it-IT"/>
        </w:rPr>
      </w:pPr>
    </w:p>
    <w:p w14:paraId="5CEAE4DA" w14:textId="77777777" w:rsidR="00780860" w:rsidRDefault="00B46B7C" w:rsidP="00780860">
      <w:pPr>
        <w:jc w:val="both"/>
        <w:rPr>
          <w:rFonts w:ascii="Arial" w:hAnsi="Arial" w:cs="Arial"/>
          <w:b/>
          <w:bCs/>
          <w:i/>
          <w:iCs/>
          <w:sz w:val="24"/>
          <w:szCs w:val="24"/>
          <w:lang w:val="it-IT"/>
        </w:rPr>
      </w:pPr>
      <w:r w:rsidRPr="00B46B7C">
        <w:rPr>
          <w:rFonts w:ascii="Arial" w:hAnsi="Arial" w:cs="Arial"/>
          <w:b/>
          <w:bCs/>
          <w:i/>
          <w:iCs/>
          <w:color w:val="0070C0"/>
          <w:sz w:val="24"/>
          <w:szCs w:val="24"/>
          <w:lang w:val="it-IT"/>
        </w:rPr>
        <w:t>Entrate tariffarie di riferimento</w:t>
      </w:r>
      <w:r w:rsidR="00780860" w:rsidRPr="00780860">
        <w:rPr>
          <w:rFonts w:ascii="Arial" w:hAnsi="Arial" w:cs="Arial"/>
          <w:b/>
          <w:bCs/>
          <w:i/>
          <w:iCs/>
          <w:sz w:val="24"/>
          <w:szCs w:val="24"/>
          <w:lang w:val="it-IT"/>
        </w:rPr>
        <w:t xml:space="preserve"> </w:t>
      </w:r>
    </w:p>
    <w:p w14:paraId="0CD587E4" w14:textId="03EB5680" w:rsidR="00780860" w:rsidRPr="00780860" w:rsidRDefault="00780860" w:rsidP="00780860">
      <w:pPr>
        <w:jc w:val="both"/>
        <w:rPr>
          <w:rFonts w:ascii="Arial" w:hAnsi="Arial" w:cs="Arial"/>
          <w:b/>
          <w:bCs/>
          <w:i/>
          <w:iCs/>
          <w:sz w:val="24"/>
          <w:szCs w:val="24"/>
          <w:lang w:val="it-IT"/>
        </w:rPr>
      </w:pPr>
      <w:r w:rsidRPr="00780860">
        <w:rPr>
          <w:rFonts w:ascii="Arial" w:hAnsi="Arial" w:cs="Arial"/>
          <w:b/>
          <w:bCs/>
          <w:i/>
          <w:iCs/>
          <w:sz w:val="24"/>
          <w:szCs w:val="24"/>
          <w:lang w:val="it-IT"/>
        </w:rPr>
        <w:t xml:space="preserve">Q1. Si condivide l’orientamento di integrare la definizione delle entrate tariffarie di riferimento prospettata nel documento per la consultazione 196/2021/R/RIF con la previsione delle componenti di costo </w:t>
      </w:r>
      <w:r w:rsidRPr="00780860">
        <w:rPr>
          <w:rFonts w:ascii="Cambria Math" w:hAnsi="Cambria Math" w:cs="Cambria Math"/>
          <w:b/>
          <w:bCs/>
          <w:i/>
          <w:iCs/>
          <w:sz w:val="24"/>
          <w:szCs w:val="24"/>
          <w:lang w:val="it-IT"/>
        </w:rPr>
        <w:t>𝐶𝑂</w:t>
      </w:r>
      <w:r w:rsidRPr="00780860">
        <w:rPr>
          <w:rFonts w:ascii="Arial" w:hAnsi="Arial" w:cs="Arial"/>
          <w:b/>
          <w:bCs/>
          <w:i/>
          <w:iCs/>
          <w:sz w:val="24"/>
          <w:szCs w:val="24"/>
          <w:lang w:val="it-IT"/>
        </w:rPr>
        <w:t>116,</w:t>
      </w:r>
      <w:r w:rsidRPr="00780860">
        <w:rPr>
          <w:rFonts w:ascii="Cambria Math" w:hAnsi="Cambria Math" w:cs="Cambria Math"/>
          <w:b/>
          <w:bCs/>
          <w:i/>
          <w:iCs/>
          <w:sz w:val="24"/>
          <w:szCs w:val="24"/>
          <w:lang w:val="it-IT"/>
        </w:rPr>
        <w:t>𝑇𝑉</w:t>
      </w:r>
      <w:r w:rsidRPr="00780860">
        <w:rPr>
          <w:rFonts w:ascii="Arial" w:hAnsi="Arial" w:cs="Arial"/>
          <w:b/>
          <w:bCs/>
          <w:i/>
          <w:iCs/>
          <w:sz w:val="24"/>
          <w:szCs w:val="24"/>
          <w:lang w:val="it-IT"/>
        </w:rPr>
        <w:t>,</w:t>
      </w:r>
      <w:r w:rsidRPr="00780860">
        <w:rPr>
          <w:rFonts w:ascii="Cambria Math" w:hAnsi="Cambria Math" w:cs="Cambria Math"/>
          <w:b/>
          <w:bCs/>
          <w:i/>
          <w:iCs/>
          <w:sz w:val="24"/>
          <w:szCs w:val="24"/>
          <w:lang w:val="it-IT"/>
        </w:rPr>
        <w:t>𝑎𝑒𝑥𝑝</w:t>
      </w:r>
      <w:r w:rsidRPr="00780860">
        <w:rPr>
          <w:rFonts w:ascii="Arial" w:hAnsi="Arial" w:cs="Arial"/>
          <w:b/>
          <w:bCs/>
          <w:i/>
          <w:iCs/>
          <w:sz w:val="24"/>
          <w:szCs w:val="24"/>
          <w:lang w:val="it-IT"/>
        </w:rPr>
        <w:t xml:space="preserve"> e </w:t>
      </w:r>
      <w:r w:rsidRPr="00780860">
        <w:rPr>
          <w:rFonts w:ascii="Cambria Math" w:hAnsi="Cambria Math" w:cs="Cambria Math"/>
          <w:b/>
          <w:bCs/>
          <w:i/>
          <w:iCs/>
          <w:sz w:val="24"/>
          <w:szCs w:val="24"/>
          <w:lang w:val="it-IT"/>
        </w:rPr>
        <w:t>𝐶𝑂</w:t>
      </w:r>
      <w:r w:rsidRPr="00780860">
        <w:rPr>
          <w:rFonts w:ascii="Arial" w:hAnsi="Arial" w:cs="Arial"/>
          <w:b/>
          <w:bCs/>
          <w:i/>
          <w:iCs/>
          <w:sz w:val="24"/>
          <w:szCs w:val="24"/>
          <w:lang w:val="it-IT"/>
        </w:rPr>
        <w:t>116,</w:t>
      </w:r>
      <w:r w:rsidRPr="00780860">
        <w:rPr>
          <w:rFonts w:ascii="Cambria Math" w:hAnsi="Cambria Math" w:cs="Cambria Math"/>
          <w:b/>
          <w:bCs/>
          <w:i/>
          <w:iCs/>
          <w:sz w:val="24"/>
          <w:szCs w:val="24"/>
          <w:lang w:val="it-IT"/>
        </w:rPr>
        <w:t>𝑇𝐹</w:t>
      </w:r>
      <w:r w:rsidRPr="00780860">
        <w:rPr>
          <w:rFonts w:ascii="Arial" w:hAnsi="Arial" w:cs="Arial"/>
          <w:b/>
          <w:bCs/>
          <w:i/>
          <w:iCs/>
          <w:sz w:val="24"/>
          <w:szCs w:val="24"/>
          <w:lang w:val="it-IT"/>
        </w:rPr>
        <w:t>,</w:t>
      </w:r>
      <w:r w:rsidRPr="00780860">
        <w:rPr>
          <w:rFonts w:ascii="Cambria Math" w:hAnsi="Cambria Math" w:cs="Cambria Math"/>
          <w:b/>
          <w:bCs/>
          <w:i/>
          <w:iCs/>
          <w:sz w:val="24"/>
          <w:szCs w:val="24"/>
          <w:lang w:val="it-IT"/>
        </w:rPr>
        <w:t>𝑎𝑒𝑥𝑝</w:t>
      </w:r>
      <w:r w:rsidRPr="00780860">
        <w:rPr>
          <w:rFonts w:ascii="Arial" w:hAnsi="Arial" w:cs="Arial"/>
          <w:b/>
          <w:bCs/>
          <w:i/>
          <w:iCs/>
          <w:sz w:val="24"/>
          <w:szCs w:val="24"/>
          <w:lang w:val="it-IT"/>
        </w:rPr>
        <w:t xml:space="preserve">, di natura previsionale, destinate alla copertura degli oneri ulteriori (rispetto ai valori di costo computabili ex post per l’anno di riferimento) riconducibili alle novità normative introdotte dal decreto legislativo 116/2020 (in particolare, in materia di qualificazione dei rifiuti prodotti da utenze non domestiche e di possibilità per tale tipologia di utenza di conferire i rifiuti urbani al di fuori del servizio pubblico)? Motivare la risposta. </w:t>
      </w:r>
    </w:p>
    <w:p w14:paraId="50F2EA44" w14:textId="1957D6F0" w:rsidR="00477781" w:rsidRPr="00780860" w:rsidRDefault="00780860" w:rsidP="00390366">
      <w:pPr>
        <w:jc w:val="both"/>
        <w:rPr>
          <w:rFonts w:ascii="Arial" w:hAnsi="Arial" w:cs="Arial"/>
          <w:b/>
          <w:bCs/>
          <w:i/>
          <w:iCs/>
          <w:color w:val="0070C0"/>
          <w:sz w:val="24"/>
          <w:szCs w:val="24"/>
          <w:lang w:val="it-IT"/>
        </w:rPr>
      </w:pPr>
      <w:r w:rsidRPr="00780860">
        <w:rPr>
          <w:rFonts w:ascii="Arial" w:hAnsi="Arial" w:cs="Arial"/>
          <w:b/>
          <w:bCs/>
          <w:i/>
          <w:iCs/>
          <w:color w:val="0070C0"/>
          <w:sz w:val="24"/>
          <w:szCs w:val="24"/>
          <w:lang w:val="it-IT"/>
        </w:rPr>
        <w:t>R: …</w:t>
      </w:r>
    </w:p>
    <w:p w14:paraId="16EBA985" w14:textId="2AE7E8B9" w:rsidR="00780860" w:rsidRPr="00780860" w:rsidRDefault="00780860" w:rsidP="00390366">
      <w:pPr>
        <w:jc w:val="both"/>
        <w:rPr>
          <w:rFonts w:ascii="Arial" w:hAnsi="Arial" w:cs="Arial"/>
          <w:b/>
          <w:bCs/>
          <w:i/>
          <w:iCs/>
          <w:sz w:val="24"/>
          <w:szCs w:val="24"/>
          <w:lang w:val="it-IT"/>
        </w:rPr>
      </w:pPr>
      <w:r w:rsidRPr="00780860">
        <w:rPr>
          <w:rFonts w:ascii="Arial" w:hAnsi="Arial" w:cs="Arial"/>
          <w:b/>
          <w:bCs/>
          <w:i/>
          <w:iCs/>
          <w:sz w:val="24"/>
          <w:szCs w:val="24"/>
          <w:lang w:val="it-IT"/>
        </w:rPr>
        <w:t xml:space="preserve">Q2. Si riterrebbe preferibile che le componenti </w:t>
      </w:r>
      <w:r w:rsidRPr="00780860">
        <w:rPr>
          <w:rFonts w:ascii="Cambria Math" w:hAnsi="Cambria Math" w:cs="Cambria Math"/>
          <w:b/>
          <w:bCs/>
          <w:i/>
          <w:iCs/>
          <w:sz w:val="24"/>
          <w:szCs w:val="24"/>
          <w:lang w:val="it-IT"/>
        </w:rPr>
        <w:t>𝐶𝑂</w:t>
      </w:r>
      <w:proofErr w:type="gramStart"/>
      <w:r w:rsidRPr="00780860">
        <w:rPr>
          <w:rFonts w:ascii="Arial" w:hAnsi="Arial" w:cs="Arial"/>
          <w:b/>
          <w:bCs/>
          <w:i/>
          <w:iCs/>
          <w:sz w:val="24"/>
          <w:szCs w:val="24"/>
          <w:lang w:val="it-IT"/>
        </w:rPr>
        <w:t>116,</w:t>
      </w:r>
      <w:r w:rsidRPr="00780860">
        <w:rPr>
          <w:rFonts w:ascii="Cambria Math" w:hAnsi="Cambria Math" w:cs="Cambria Math"/>
          <w:b/>
          <w:bCs/>
          <w:i/>
          <w:iCs/>
          <w:sz w:val="24"/>
          <w:szCs w:val="24"/>
          <w:lang w:val="it-IT"/>
        </w:rPr>
        <w:t>𝑇𝑉</w:t>
      </w:r>
      <w:proofErr w:type="gramEnd"/>
      <w:r w:rsidRPr="00780860">
        <w:rPr>
          <w:rFonts w:ascii="Arial" w:hAnsi="Arial" w:cs="Arial"/>
          <w:b/>
          <w:bCs/>
          <w:i/>
          <w:iCs/>
          <w:sz w:val="24"/>
          <w:szCs w:val="24"/>
          <w:lang w:val="it-IT"/>
        </w:rPr>
        <w:t>,</w:t>
      </w:r>
      <w:r w:rsidRPr="00780860">
        <w:rPr>
          <w:rFonts w:ascii="Cambria Math" w:hAnsi="Cambria Math" w:cs="Cambria Math"/>
          <w:b/>
          <w:bCs/>
          <w:i/>
          <w:iCs/>
          <w:sz w:val="24"/>
          <w:szCs w:val="24"/>
          <w:lang w:val="it-IT"/>
        </w:rPr>
        <w:t>𝑎𝑒𝑥𝑝</w:t>
      </w:r>
      <w:r w:rsidRPr="00780860">
        <w:rPr>
          <w:rFonts w:ascii="Arial" w:hAnsi="Arial" w:cs="Arial"/>
          <w:b/>
          <w:bCs/>
          <w:i/>
          <w:iCs/>
          <w:sz w:val="24"/>
          <w:szCs w:val="24"/>
          <w:lang w:val="it-IT"/>
        </w:rPr>
        <w:t xml:space="preserve"> e </w:t>
      </w:r>
      <w:r w:rsidRPr="00780860">
        <w:rPr>
          <w:rFonts w:ascii="Cambria Math" w:hAnsi="Cambria Math" w:cs="Cambria Math"/>
          <w:b/>
          <w:bCs/>
          <w:i/>
          <w:iCs/>
          <w:sz w:val="24"/>
          <w:szCs w:val="24"/>
          <w:lang w:val="it-IT"/>
        </w:rPr>
        <w:t>𝐶𝑂</w:t>
      </w:r>
      <w:r w:rsidRPr="00780860">
        <w:rPr>
          <w:rFonts w:ascii="Arial" w:hAnsi="Arial" w:cs="Arial"/>
          <w:b/>
          <w:bCs/>
          <w:i/>
          <w:iCs/>
          <w:sz w:val="24"/>
          <w:szCs w:val="24"/>
          <w:lang w:val="it-IT"/>
        </w:rPr>
        <w:t>116,</w:t>
      </w:r>
      <w:r w:rsidRPr="00780860">
        <w:rPr>
          <w:rFonts w:ascii="Cambria Math" w:hAnsi="Cambria Math" w:cs="Cambria Math"/>
          <w:b/>
          <w:bCs/>
          <w:i/>
          <w:iCs/>
          <w:sz w:val="24"/>
          <w:szCs w:val="24"/>
          <w:lang w:val="it-IT"/>
        </w:rPr>
        <w:t>𝑇𝐹</w:t>
      </w:r>
      <w:r w:rsidRPr="00780860">
        <w:rPr>
          <w:rFonts w:ascii="Arial" w:hAnsi="Arial" w:cs="Arial"/>
          <w:b/>
          <w:bCs/>
          <w:i/>
          <w:iCs/>
          <w:sz w:val="24"/>
          <w:szCs w:val="24"/>
          <w:lang w:val="it-IT"/>
        </w:rPr>
        <w:t>,</w:t>
      </w:r>
      <w:r w:rsidRPr="00780860">
        <w:rPr>
          <w:rFonts w:ascii="Cambria Math" w:hAnsi="Cambria Math" w:cs="Cambria Math"/>
          <w:b/>
          <w:bCs/>
          <w:i/>
          <w:iCs/>
          <w:sz w:val="24"/>
          <w:szCs w:val="24"/>
          <w:lang w:val="it-IT"/>
        </w:rPr>
        <w:t>𝑎𝑒𝑥𝑝</w:t>
      </w:r>
      <w:r w:rsidRPr="00780860">
        <w:rPr>
          <w:rFonts w:ascii="Arial" w:hAnsi="Arial" w:cs="Arial"/>
          <w:b/>
          <w:bCs/>
          <w:i/>
          <w:iCs/>
          <w:sz w:val="24"/>
          <w:szCs w:val="24"/>
          <w:lang w:val="it-IT"/>
        </w:rPr>
        <w:t>, oltre che ad essere destinate alla copertura degli eventuali oneri ulteriori attesi (a garanzia della sostenibilità finanziaria della gestione), potessero anche essere quantificate per anticipare gli effetti di una eventuale riduzione degli oneri conseguente alle menzionate novità recate dal decreto legislativo 116/2020 (in un’ottica di sostenibilità della tariffa applicata all’utenza)? Motivare la risposta.</w:t>
      </w:r>
    </w:p>
    <w:p w14:paraId="7E66FB86" w14:textId="77777777" w:rsidR="00780860" w:rsidRPr="00780860" w:rsidRDefault="00780860" w:rsidP="00780860">
      <w:pPr>
        <w:jc w:val="both"/>
        <w:rPr>
          <w:rFonts w:ascii="Arial" w:hAnsi="Arial" w:cs="Arial"/>
          <w:b/>
          <w:bCs/>
          <w:i/>
          <w:iCs/>
          <w:color w:val="0070C0"/>
          <w:sz w:val="24"/>
          <w:szCs w:val="24"/>
          <w:lang w:val="it-IT"/>
        </w:rPr>
      </w:pPr>
      <w:r w:rsidRPr="00780860">
        <w:rPr>
          <w:rFonts w:ascii="Arial" w:hAnsi="Arial" w:cs="Arial"/>
          <w:b/>
          <w:bCs/>
          <w:i/>
          <w:iCs/>
          <w:color w:val="0070C0"/>
          <w:sz w:val="24"/>
          <w:szCs w:val="24"/>
          <w:lang w:val="it-IT"/>
        </w:rPr>
        <w:t>R: …</w:t>
      </w:r>
    </w:p>
    <w:p w14:paraId="03E37EA7" w14:textId="4F393D6E" w:rsidR="00780860" w:rsidRPr="00780860" w:rsidRDefault="00780860" w:rsidP="00780860">
      <w:pPr>
        <w:tabs>
          <w:tab w:val="num" w:pos="171"/>
          <w:tab w:val="num" w:pos="454"/>
        </w:tabs>
        <w:ind w:left="29"/>
        <w:jc w:val="both"/>
        <w:rPr>
          <w:rFonts w:ascii="Arial" w:hAnsi="Arial" w:cs="Arial"/>
          <w:b/>
          <w:bCs/>
          <w:i/>
          <w:iCs/>
          <w:sz w:val="24"/>
          <w:szCs w:val="24"/>
          <w:lang w:val="it-IT"/>
        </w:rPr>
      </w:pPr>
      <w:r w:rsidRPr="00780860">
        <w:rPr>
          <w:rFonts w:ascii="Arial" w:hAnsi="Arial" w:cs="Arial"/>
          <w:b/>
          <w:bCs/>
          <w:i/>
          <w:iCs/>
          <w:sz w:val="24"/>
          <w:szCs w:val="24"/>
          <w:lang w:val="it-IT"/>
        </w:rPr>
        <w:t xml:space="preserve">Q3. Si condivide l’orientamento di prevedere che il fattore di sharing </w:t>
      </w:r>
      <w:r w:rsidRPr="00780860">
        <w:rPr>
          <w:rFonts w:ascii="Cambria Math" w:hAnsi="Cambria Math" w:cs="Cambria Math"/>
          <w:b/>
          <w:bCs/>
          <w:i/>
          <w:iCs/>
          <w:sz w:val="24"/>
          <w:szCs w:val="24"/>
          <w:lang w:val="it-IT"/>
        </w:rPr>
        <w:t>𝑏𝑎</w:t>
      </w:r>
      <w:r w:rsidRPr="00780860">
        <w:rPr>
          <w:rFonts w:ascii="Arial" w:hAnsi="Arial" w:cs="Arial"/>
          <w:b/>
          <w:bCs/>
          <w:i/>
          <w:iCs/>
          <w:sz w:val="24"/>
          <w:szCs w:val="24"/>
          <w:lang w:val="it-IT"/>
        </w:rPr>
        <w:t xml:space="preserve"> sia valorizzabile dall’ETC nell’ambito di un intervallo di valori individuato in continuità con quello definito nel MTR? Qualora si ritenesse più opportuno esplicitare ulteriori criteri ai fini della quantificazione di </w:t>
      </w:r>
      <w:r w:rsidRPr="00780860">
        <w:rPr>
          <w:rFonts w:ascii="Cambria Math" w:hAnsi="Cambria Math" w:cs="Cambria Math"/>
          <w:b/>
          <w:bCs/>
          <w:i/>
          <w:iCs/>
          <w:sz w:val="24"/>
          <w:szCs w:val="24"/>
          <w:lang w:val="it-IT"/>
        </w:rPr>
        <w:t>𝑏𝑎</w:t>
      </w:r>
      <w:r w:rsidRPr="00780860">
        <w:rPr>
          <w:rFonts w:ascii="Arial" w:hAnsi="Arial" w:cs="Arial"/>
          <w:b/>
          <w:bCs/>
          <w:i/>
          <w:iCs/>
          <w:sz w:val="24"/>
          <w:szCs w:val="24"/>
          <w:lang w:val="it-IT"/>
        </w:rPr>
        <w:t xml:space="preserve"> in ragione del potenziale contributo dell’output recuperato al raggiungimento dei target europei, quali parametri di riferimento si ritiene di poter suggerire oltre a quelli prospettati per la determinazione di </w:t>
      </w:r>
      <w:proofErr w:type="spellStart"/>
      <w:r w:rsidRPr="00780860">
        <w:rPr>
          <w:rFonts w:ascii="Arial" w:hAnsi="Arial" w:cs="Arial"/>
          <w:b/>
          <w:bCs/>
          <w:i/>
          <w:iCs/>
          <w:sz w:val="24"/>
          <w:szCs w:val="24"/>
          <w:lang w:val="it-IT"/>
        </w:rPr>
        <w:t>Wa</w:t>
      </w:r>
      <w:proofErr w:type="spellEnd"/>
      <w:r w:rsidRPr="00780860">
        <w:rPr>
          <w:rFonts w:ascii="Arial" w:hAnsi="Arial" w:cs="Arial"/>
          <w:b/>
          <w:bCs/>
          <w:i/>
          <w:iCs/>
          <w:sz w:val="24"/>
          <w:szCs w:val="24"/>
          <w:lang w:val="it-IT"/>
        </w:rPr>
        <w:t xml:space="preserve"> e del coefficiente di recupero di produttività </w:t>
      </w:r>
      <w:r w:rsidRPr="00780860">
        <w:rPr>
          <w:rFonts w:ascii="Cambria Math" w:hAnsi="Cambria Math" w:cs="Cambria Math"/>
          <w:b/>
          <w:bCs/>
          <w:i/>
          <w:iCs/>
          <w:sz w:val="24"/>
          <w:szCs w:val="24"/>
          <w:lang w:val="it-IT"/>
        </w:rPr>
        <w:t>𝑋𝑎</w:t>
      </w:r>
      <w:r w:rsidRPr="00780860">
        <w:rPr>
          <w:rFonts w:ascii="Arial" w:hAnsi="Arial" w:cs="Arial"/>
          <w:b/>
          <w:bCs/>
          <w:i/>
          <w:iCs/>
          <w:sz w:val="24"/>
          <w:szCs w:val="24"/>
          <w:lang w:val="it-IT"/>
        </w:rPr>
        <w:t xml:space="preserve">? Motivare la risposta. </w:t>
      </w:r>
    </w:p>
    <w:p w14:paraId="6C578FC6" w14:textId="77777777" w:rsidR="00780860" w:rsidRPr="00780860" w:rsidRDefault="00780860" w:rsidP="00780860">
      <w:pPr>
        <w:jc w:val="both"/>
        <w:rPr>
          <w:rFonts w:ascii="Arial" w:hAnsi="Arial" w:cs="Arial"/>
          <w:b/>
          <w:bCs/>
          <w:i/>
          <w:iCs/>
          <w:color w:val="0070C0"/>
          <w:sz w:val="24"/>
          <w:szCs w:val="24"/>
          <w:lang w:val="it-IT"/>
        </w:rPr>
      </w:pPr>
      <w:r w:rsidRPr="00780860">
        <w:rPr>
          <w:rFonts w:ascii="Arial" w:hAnsi="Arial" w:cs="Arial"/>
          <w:b/>
          <w:bCs/>
          <w:i/>
          <w:iCs/>
          <w:color w:val="0070C0"/>
          <w:sz w:val="24"/>
          <w:szCs w:val="24"/>
          <w:lang w:val="it-IT"/>
        </w:rPr>
        <w:t>R: …</w:t>
      </w:r>
    </w:p>
    <w:p w14:paraId="6E7A6C96" w14:textId="0CFC1A0E" w:rsidR="00780860" w:rsidRPr="00780860" w:rsidRDefault="00780860" w:rsidP="00780860">
      <w:pPr>
        <w:tabs>
          <w:tab w:val="num" w:pos="171"/>
          <w:tab w:val="num" w:pos="454"/>
        </w:tabs>
        <w:ind w:left="29"/>
        <w:jc w:val="both"/>
        <w:rPr>
          <w:rFonts w:ascii="Arial" w:hAnsi="Arial" w:cs="Arial"/>
          <w:b/>
          <w:bCs/>
          <w:i/>
          <w:iCs/>
          <w:sz w:val="24"/>
          <w:szCs w:val="24"/>
          <w:lang w:val="it-IT"/>
        </w:rPr>
      </w:pPr>
      <w:r w:rsidRPr="00780860">
        <w:rPr>
          <w:rFonts w:ascii="Arial" w:hAnsi="Arial" w:cs="Arial"/>
          <w:b/>
          <w:bCs/>
          <w:i/>
          <w:iCs/>
          <w:sz w:val="24"/>
          <w:szCs w:val="24"/>
          <w:lang w:val="it-IT"/>
        </w:rPr>
        <w:lastRenderedPageBreak/>
        <w:t xml:space="preserve">Q4. Si condivide l’orientamento prospettato con riferimento alle modalità di quantificazione del parametro </w:t>
      </w:r>
      <w:proofErr w:type="spellStart"/>
      <w:r w:rsidRPr="00780860">
        <w:rPr>
          <w:rFonts w:ascii="Arial" w:hAnsi="Arial" w:cs="Arial"/>
          <w:b/>
          <w:bCs/>
          <w:i/>
          <w:iCs/>
          <w:sz w:val="24"/>
          <w:szCs w:val="24"/>
          <w:lang w:val="it-IT"/>
        </w:rPr>
        <w:t>Wa</w:t>
      </w:r>
      <w:proofErr w:type="spellEnd"/>
      <w:r w:rsidRPr="00780860">
        <w:rPr>
          <w:rFonts w:ascii="Arial" w:hAnsi="Arial" w:cs="Arial"/>
          <w:b/>
          <w:bCs/>
          <w:i/>
          <w:iCs/>
          <w:sz w:val="24"/>
          <w:szCs w:val="24"/>
          <w:lang w:val="it-IT"/>
        </w:rPr>
        <w:t>, in funzione dei coefficienti Y1 e Y2, rispettivamente legati al conseguimento degli obiettivi di raccolta differenziata e all’efficacia delle attività di preparazione per il riutilizzo e il riciclo misurata in termini di percentuale di frazione estranea nelle raccolte differenziate? Motivare la risposta.</w:t>
      </w:r>
    </w:p>
    <w:p w14:paraId="3E804A2D" w14:textId="77777777" w:rsidR="00780860" w:rsidRPr="00780860" w:rsidRDefault="00780860" w:rsidP="00780860">
      <w:pPr>
        <w:jc w:val="both"/>
        <w:rPr>
          <w:rFonts w:ascii="Arial" w:hAnsi="Arial" w:cs="Arial"/>
          <w:b/>
          <w:bCs/>
          <w:i/>
          <w:iCs/>
          <w:color w:val="0070C0"/>
          <w:sz w:val="24"/>
          <w:szCs w:val="24"/>
          <w:lang w:val="it-IT"/>
        </w:rPr>
      </w:pPr>
      <w:r w:rsidRPr="00780860">
        <w:rPr>
          <w:rFonts w:ascii="Arial" w:hAnsi="Arial" w:cs="Arial"/>
          <w:b/>
          <w:bCs/>
          <w:i/>
          <w:iCs/>
          <w:color w:val="0070C0"/>
          <w:sz w:val="24"/>
          <w:szCs w:val="24"/>
          <w:lang w:val="it-IT"/>
        </w:rPr>
        <w:t>R: …</w:t>
      </w:r>
    </w:p>
    <w:p w14:paraId="31602880" w14:textId="77777777" w:rsidR="00780860" w:rsidRPr="001C2275" w:rsidRDefault="00780860" w:rsidP="00390366">
      <w:pPr>
        <w:jc w:val="both"/>
        <w:rPr>
          <w:rFonts w:ascii="Arial" w:hAnsi="Arial" w:cs="Arial"/>
          <w:b/>
          <w:bCs/>
          <w:i/>
          <w:iCs/>
          <w:color w:val="0070C0"/>
          <w:sz w:val="24"/>
          <w:szCs w:val="24"/>
          <w:lang w:val="it-IT"/>
        </w:rPr>
      </w:pPr>
    </w:p>
    <w:p w14:paraId="6A056085" w14:textId="18E82559" w:rsidR="00562B75" w:rsidRDefault="00B46B7C" w:rsidP="00390366">
      <w:pPr>
        <w:jc w:val="both"/>
        <w:rPr>
          <w:rFonts w:ascii="Arial" w:hAnsi="Arial" w:cs="Arial"/>
          <w:b/>
          <w:bCs/>
          <w:color w:val="0070C0"/>
          <w:sz w:val="24"/>
          <w:szCs w:val="24"/>
          <w:lang w:val="it-IT"/>
        </w:rPr>
      </w:pPr>
      <w:r w:rsidRPr="00B46B7C">
        <w:rPr>
          <w:rFonts w:ascii="Arial" w:hAnsi="Arial" w:cs="Arial"/>
          <w:b/>
          <w:bCs/>
          <w:color w:val="0070C0"/>
          <w:sz w:val="24"/>
          <w:szCs w:val="24"/>
          <w:lang w:val="it-IT"/>
        </w:rPr>
        <w:t>Limite alla crescita annuale delle entrate tariffarie</w:t>
      </w:r>
    </w:p>
    <w:p w14:paraId="26AC82C0" w14:textId="0F7383D8" w:rsidR="00780860" w:rsidRDefault="00780860" w:rsidP="00780860">
      <w:pPr>
        <w:jc w:val="both"/>
        <w:rPr>
          <w:rFonts w:ascii="Arial" w:hAnsi="Arial" w:cs="Arial"/>
          <w:b/>
          <w:bCs/>
          <w:i/>
          <w:iCs/>
          <w:sz w:val="24"/>
          <w:szCs w:val="24"/>
          <w:lang w:val="it-IT"/>
        </w:rPr>
      </w:pPr>
      <w:r w:rsidRPr="00B46B7C">
        <w:rPr>
          <w:rFonts w:ascii="Arial" w:hAnsi="Arial" w:cs="Arial"/>
          <w:b/>
          <w:bCs/>
          <w:i/>
          <w:iCs/>
          <w:sz w:val="24"/>
          <w:szCs w:val="24"/>
          <w:lang w:val="it-IT"/>
        </w:rPr>
        <w:t xml:space="preserve">Q5. Si concorda con l’intervallo di riferimento proposto per la valorizzazione del coefficiente </w:t>
      </w:r>
      <w:r w:rsidRPr="00B46B7C">
        <w:rPr>
          <w:rFonts w:ascii="Cambria Math" w:hAnsi="Cambria Math" w:cs="Cambria Math"/>
          <w:b/>
          <w:bCs/>
          <w:i/>
          <w:iCs/>
          <w:sz w:val="24"/>
          <w:szCs w:val="24"/>
          <w:lang w:val="it-IT"/>
        </w:rPr>
        <w:t>𝑋𝑎</w:t>
      </w:r>
      <w:r w:rsidRPr="00B46B7C">
        <w:rPr>
          <w:rFonts w:ascii="Arial" w:hAnsi="Arial" w:cs="Arial"/>
          <w:b/>
          <w:bCs/>
          <w:i/>
          <w:iCs/>
          <w:sz w:val="24"/>
          <w:szCs w:val="24"/>
          <w:lang w:val="it-IT"/>
        </w:rPr>
        <w:t xml:space="preserve"> determinato tenendo congiuntamente conto del confronto tra il costo unitario effettivo della gestione interessata e il Benchmark di riferimento, nonché della qualità ambientale delle prestazioni?</w:t>
      </w:r>
      <w:r>
        <w:rPr>
          <w:rFonts w:ascii="Arial" w:hAnsi="Arial" w:cs="Arial"/>
          <w:b/>
          <w:bCs/>
          <w:i/>
          <w:iCs/>
          <w:sz w:val="24"/>
          <w:szCs w:val="24"/>
          <w:lang w:val="it-IT"/>
        </w:rPr>
        <w:t xml:space="preserve"> </w:t>
      </w:r>
      <w:proofErr w:type="gramStart"/>
      <w:r w:rsidRPr="00B46B7C">
        <w:rPr>
          <w:rFonts w:ascii="Arial" w:hAnsi="Arial" w:cs="Arial"/>
          <w:b/>
          <w:bCs/>
          <w:i/>
          <w:iCs/>
          <w:sz w:val="24"/>
          <w:szCs w:val="24"/>
          <w:lang w:val="it-IT"/>
        </w:rPr>
        <w:t>Motivare</w:t>
      </w:r>
      <w:proofErr w:type="gramEnd"/>
      <w:r w:rsidRPr="00B46B7C">
        <w:rPr>
          <w:rFonts w:ascii="Arial" w:hAnsi="Arial" w:cs="Arial"/>
          <w:b/>
          <w:bCs/>
          <w:i/>
          <w:iCs/>
          <w:sz w:val="24"/>
          <w:szCs w:val="24"/>
          <w:lang w:val="it-IT"/>
        </w:rPr>
        <w:t xml:space="preserve"> la risposta.</w:t>
      </w:r>
    </w:p>
    <w:p w14:paraId="3062073E" w14:textId="77777777" w:rsidR="00780860" w:rsidRDefault="00780860" w:rsidP="00780860">
      <w:pPr>
        <w:jc w:val="both"/>
        <w:rPr>
          <w:rFonts w:ascii="Arial" w:hAnsi="Arial" w:cs="Arial"/>
          <w:b/>
          <w:bCs/>
          <w:i/>
          <w:iCs/>
          <w:color w:val="0070C0"/>
          <w:sz w:val="24"/>
          <w:szCs w:val="24"/>
          <w:lang w:val="it-IT"/>
        </w:rPr>
      </w:pPr>
      <w:r>
        <w:rPr>
          <w:rFonts w:ascii="Arial" w:hAnsi="Arial" w:cs="Arial"/>
          <w:b/>
          <w:bCs/>
          <w:i/>
          <w:iCs/>
          <w:color w:val="0070C0"/>
          <w:sz w:val="24"/>
          <w:szCs w:val="24"/>
          <w:lang w:val="it-IT"/>
        </w:rPr>
        <w:t>R: …</w:t>
      </w:r>
    </w:p>
    <w:p w14:paraId="3BBC9F7A" w14:textId="77777777" w:rsidR="00780860" w:rsidRPr="00780860" w:rsidRDefault="00780860" w:rsidP="00780860">
      <w:pPr>
        <w:jc w:val="both"/>
        <w:rPr>
          <w:rFonts w:ascii="Arial" w:hAnsi="Arial" w:cs="Arial"/>
          <w:b/>
          <w:bCs/>
          <w:i/>
          <w:iCs/>
          <w:color w:val="0070C0"/>
          <w:sz w:val="6"/>
          <w:szCs w:val="6"/>
          <w:lang w:val="it-IT"/>
        </w:rPr>
      </w:pPr>
    </w:p>
    <w:p w14:paraId="4609DC14" w14:textId="3F8E7C40" w:rsidR="00780860" w:rsidRDefault="00780860" w:rsidP="00780860">
      <w:pPr>
        <w:jc w:val="both"/>
        <w:rPr>
          <w:rFonts w:ascii="Arial" w:hAnsi="Arial" w:cs="Arial"/>
          <w:b/>
          <w:bCs/>
          <w:i/>
          <w:iCs/>
          <w:sz w:val="24"/>
          <w:szCs w:val="24"/>
          <w:lang w:val="it-IT"/>
        </w:rPr>
      </w:pPr>
      <w:r w:rsidRPr="00B46B7C">
        <w:rPr>
          <w:rFonts w:ascii="Arial" w:hAnsi="Arial" w:cs="Arial"/>
          <w:b/>
          <w:bCs/>
          <w:i/>
          <w:iCs/>
          <w:sz w:val="24"/>
          <w:szCs w:val="24"/>
          <w:lang w:val="it-IT"/>
        </w:rPr>
        <w:t>Q6. Si concorda con la proposta di permettere la valorizzazione del coefficiente C116a al fine di tener conto degli oneri ulteriori di natura previsionale riconducibili alle novità normative introdotte dal decreto legislativo 116/2020? Motivare la risposta.</w:t>
      </w:r>
    </w:p>
    <w:p w14:paraId="4E3EEFE0" w14:textId="77777777" w:rsidR="00780860" w:rsidRDefault="00780860" w:rsidP="00780860">
      <w:pPr>
        <w:jc w:val="both"/>
        <w:rPr>
          <w:rFonts w:ascii="Arial" w:hAnsi="Arial" w:cs="Arial"/>
          <w:b/>
          <w:bCs/>
          <w:i/>
          <w:iCs/>
          <w:color w:val="0070C0"/>
          <w:sz w:val="24"/>
          <w:szCs w:val="24"/>
          <w:lang w:val="it-IT"/>
        </w:rPr>
      </w:pPr>
      <w:r>
        <w:rPr>
          <w:rFonts w:ascii="Arial" w:hAnsi="Arial" w:cs="Arial"/>
          <w:b/>
          <w:bCs/>
          <w:i/>
          <w:iCs/>
          <w:color w:val="0070C0"/>
          <w:sz w:val="24"/>
          <w:szCs w:val="24"/>
          <w:lang w:val="it-IT"/>
        </w:rPr>
        <w:t>R: …</w:t>
      </w:r>
    </w:p>
    <w:p w14:paraId="4424BAD2" w14:textId="23068A58" w:rsidR="00780860" w:rsidRDefault="00780860" w:rsidP="00780860">
      <w:pPr>
        <w:jc w:val="both"/>
        <w:rPr>
          <w:rFonts w:ascii="Arial" w:hAnsi="Arial" w:cs="Arial"/>
          <w:b/>
          <w:bCs/>
          <w:i/>
          <w:iCs/>
          <w:sz w:val="24"/>
          <w:szCs w:val="24"/>
          <w:lang w:val="it-IT"/>
        </w:rPr>
      </w:pPr>
      <w:r w:rsidRPr="00B46B7C">
        <w:rPr>
          <w:rFonts w:ascii="Arial" w:hAnsi="Arial" w:cs="Arial"/>
          <w:b/>
          <w:bCs/>
          <w:i/>
          <w:iCs/>
          <w:sz w:val="24"/>
          <w:szCs w:val="24"/>
          <w:lang w:val="it-IT"/>
        </w:rPr>
        <w:t>Q7. Si concorda con la proposta di prendere come riferimento per la valutazione del rispetto del limite annuale alla crescita delle entrate tariffarie il valore al netto delle detrazioni legate al contributo MIUR, degli esiti della lotta all’evasione, di misure sanzionatorie e delle eventuali ulteriori partite approvate dall’Ente territorialmente competente? Motivare la risposta.</w:t>
      </w:r>
    </w:p>
    <w:p w14:paraId="4CF604C5" w14:textId="77777777" w:rsidR="00780860" w:rsidRDefault="00780860" w:rsidP="00780860">
      <w:pPr>
        <w:jc w:val="both"/>
        <w:rPr>
          <w:rFonts w:ascii="Arial" w:hAnsi="Arial" w:cs="Arial"/>
          <w:b/>
          <w:bCs/>
          <w:i/>
          <w:iCs/>
          <w:color w:val="0070C0"/>
          <w:sz w:val="24"/>
          <w:szCs w:val="24"/>
          <w:lang w:val="it-IT"/>
        </w:rPr>
      </w:pPr>
      <w:r>
        <w:rPr>
          <w:rFonts w:ascii="Arial" w:hAnsi="Arial" w:cs="Arial"/>
          <w:b/>
          <w:bCs/>
          <w:i/>
          <w:iCs/>
          <w:color w:val="0070C0"/>
          <w:sz w:val="24"/>
          <w:szCs w:val="24"/>
          <w:lang w:val="it-IT"/>
        </w:rPr>
        <w:t>R: …</w:t>
      </w:r>
    </w:p>
    <w:p w14:paraId="2BA4B526" w14:textId="77777777" w:rsidR="00780860" w:rsidRDefault="00780860" w:rsidP="00390366">
      <w:pPr>
        <w:jc w:val="both"/>
        <w:rPr>
          <w:rFonts w:ascii="Arial" w:hAnsi="Arial" w:cs="Arial"/>
          <w:b/>
          <w:bCs/>
          <w:color w:val="0070C0"/>
          <w:sz w:val="24"/>
          <w:szCs w:val="24"/>
          <w:lang w:val="it-IT"/>
        </w:rPr>
      </w:pPr>
    </w:p>
    <w:p w14:paraId="31862F01" w14:textId="7362AD71" w:rsidR="00B46B7C" w:rsidRPr="00B46B7C" w:rsidRDefault="00B46B7C" w:rsidP="00390366">
      <w:pPr>
        <w:jc w:val="both"/>
        <w:rPr>
          <w:rFonts w:ascii="Arial" w:hAnsi="Arial" w:cs="Arial"/>
          <w:b/>
          <w:bCs/>
          <w:color w:val="0070C0"/>
          <w:sz w:val="24"/>
          <w:szCs w:val="24"/>
          <w:lang w:val="it-IT"/>
        </w:rPr>
      </w:pPr>
      <w:r w:rsidRPr="00B46B7C">
        <w:rPr>
          <w:rFonts w:ascii="Arial" w:hAnsi="Arial" w:cs="Arial"/>
          <w:b/>
          <w:bCs/>
          <w:color w:val="0070C0"/>
          <w:sz w:val="24"/>
          <w:szCs w:val="24"/>
          <w:lang w:val="it-IT"/>
        </w:rPr>
        <w:t>Corrispettivi per l’utenza</w:t>
      </w:r>
    </w:p>
    <w:p w14:paraId="2AF86945" w14:textId="1521D941" w:rsidR="00780860" w:rsidRDefault="00780860" w:rsidP="00780860">
      <w:pPr>
        <w:jc w:val="both"/>
        <w:rPr>
          <w:rFonts w:ascii="Arial" w:hAnsi="Arial" w:cs="Arial"/>
          <w:b/>
          <w:bCs/>
          <w:i/>
          <w:iCs/>
          <w:sz w:val="24"/>
          <w:szCs w:val="24"/>
          <w:lang w:val="it-IT"/>
        </w:rPr>
      </w:pPr>
      <w:r w:rsidRPr="00B46B7C">
        <w:rPr>
          <w:rFonts w:ascii="Arial" w:hAnsi="Arial" w:cs="Arial"/>
          <w:b/>
          <w:bCs/>
          <w:i/>
          <w:iCs/>
          <w:color w:val="000000"/>
          <w:sz w:val="24"/>
          <w:szCs w:val="24"/>
          <w:lang w:val="it-IT"/>
        </w:rPr>
        <w:t>Q8. Si condivide l’orientamento prospettato con riferimento ai corrispettivi applicati all’utenza? Motivare la risposta.</w:t>
      </w:r>
    </w:p>
    <w:p w14:paraId="4E98445D" w14:textId="77777777" w:rsidR="00780860" w:rsidRDefault="00780860" w:rsidP="00780860">
      <w:pPr>
        <w:jc w:val="both"/>
        <w:rPr>
          <w:rFonts w:ascii="Arial" w:hAnsi="Arial" w:cs="Arial"/>
          <w:b/>
          <w:bCs/>
          <w:i/>
          <w:iCs/>
          <w:color w:val="0070C0"/>
          <w:sz w:val="24"/>
          <w:szCs w:val="24"/>
          <w:lang w:val="it-IT"/>
        </w:rPr>
      </w:pPr>
      <w:r>
        <w:rPr>
          <w:rFonts w:ascii="Arial" w:hAnsi="Arial" w:cs="Arial"/>
          <w:b/>
          <w:bCs/>
          <w:i/>
          <w:iCs/>
          <w:color w:val="0070C0"/>
          <w:sz w:val="24"/>
          <w:szCs w:val="24"/>
          <w:lang w:val="it-IT"/>
        </w:rPr>
        <w:t>R: …</w:t>
      </w:r>
    </w:p>
    <w:p w14:paraId="2C502A7D" w14:textId="57C47EB3" w:rsidR="00377C8C" w:rsidRDefault="00377C8C" w:rsidP="00390366">
      <w:pPr>
        <w:jc w:val="both"/>
        <w:rPr>
          <w:rFonts w:ascii="Arial" w:hAnsi="Arial" w:cs="Arial"/>
          <w:sz w:val="24"/>
          <w:szCs w:val="24"/>
          <w:lang w:val="it-IT"/>
        </w:rPr>
      </w:pPr>
    </w:p>
    <w:p w14:paraId="283D775D" w14:textId="6C9646E9" w:rsidR="00B46B7C" w:rsidRDefault="00B46B7C" w:rsidP="00390366">
      <w:pPr>
        <w:jc w:val="both"/>
        <w:rPr>
          <w:rFonts w:ascii="Arial" w:hAnsi="Arial" w:cs="Arial"/>
          <w:b/>
          <w:bCs/>
          <w:color w:val="0070C0"/>
          <w:sz w:val="24"/>
          <w:szCs w:val="24"/>
          <w:lang w:val="it-IT"/>
        </w:rPr>
      </w:pPr>
      <w:r w:rsidRPr="00B46B7C">
        <w:rPr>
          <w:rFonts w:ascii="Arial" w:hAnsi="Arial" w:cs="Arial"/>
          <w:b/>
          <w:bCs/>
          <w:color w:val="0070C0"/>
          <w:sz w:val="24"/>
          <w:szCs w:val="24"/>
          <w:lang w:val="it-IT"/>
        </w:rPr>
        <w:t>Costi riconosciuti</w:t>
      </w:r>
    </w:p>
    <w:p w14:paraId="2D9EFC34" w14:textId="4CF80C72" w:rsidR="00780860" w:rsidRDefault="00780860" w:rsidP="00780860">
      <w:pPr>
        <w:jc w:val="both"/>
        <w:rPr>
          <w:rFonts w:ascii="Arial" w:hAnsi="Arial" w:cs="Arial"/>
          <w:b/>
          <w:bCs/>
          <w:i/>
          <w:iCs/>
          <w:sz w:val="24"/>
          <w:szCs w:val="24"/>
          <w:lang w:val="it-IT"/>
        </w:rPr>
      </w:pPr>
      <w:r w:rsidRPr="00B46B7C">
        <w:rPr>
          <w:rFonts w:ascii="Arial" w:hAnsi="Arial" w:cs="Arial"/>
          <w:b/>
          <w:bCs/>
          <w:i/>
          <w:iCs/>
          <w:sz w:val="24"/>
          <w:szCs w:val="24"/>
          <w:lang w:val="it-IT"/>
        </w:rPr>
        <w:t>Q9. Si condivide l’elenco delle voci a decurtazione delle poste di bilancio di natura ricorrente individuato dall’Autorità ai fini del calcolo dei costi efficienti da ammettere a riconoscimento? Motivare la risposta.</w:t>
      </w:r>
    </w:p>
    <w:p w14:paraId="650D0F56" w14:textId="77777777" w:rsidR="00780860" w:rsidRDefault="00780860" w:rsidP="00780860">
      <w:pPr>
        <w:jc w:val="both"/>
        <w:rPr>
          <w:rFonts w:ascii="Arial" w:hAnsi="Arial" w:cs="Arial"/>
          <w:b/>
          <w:bCs/>
          <w:i/>
          <w:iCs/>
          <w:color w:val="0070C0"/>
          <w:sz w:val="24"/>
          <w:szCs w:val="24"/>
          <w:lang w:val="it-IT"/>
        </w:rPr>
      </w:pPr>
      <w:r>
        <w:rPr>
          <w:rFonts w:ascii="Arial" w:hAnsi="Arial" w:cs="Arial"/>
          <w:b/>
          <w:bCs/>
          <w:i/>
          <w:iCs/>
          <w:color w:val="0070C0"/>
          <w:sz w:val="24"/>
          <w:szCs w:val="24"/>
          <w:lang w:val="it-IT"/>
        </w:rPr>
        <w:t>R: …</w:t>
      </w:r>
    </w:p>
    <w:p w14:paraId="3639836F" w14:textId="40BA4D04" w:rsidR="00780860" w:rsidRDefault="00780860" w:rsidP="00780860">
      <w:pPr>
        <w:jc w:val="both"/>
        <w:rPr>
          <w:rFonts w:ascii="Arial" w:hAnsi="Arial" w:cs="Arial"/>
          <w:b/>
          <w:bCs/>
          <w:i/>
          <w:iCs/>
          <w:sz w:val="24"/>
          <w:szCs w:val="24"/>
          <w:lang w:val="it-IT"/>
        </w:rPr>
      </w:pPr>
      <w:r w:rsidRPr="00B46B7C">
        <w:rPr>
          <w:rFonts w:ascii="Arial" w:hAnsi="Arial" w:cs="Arial"/>
          <w:b/>
          <w:bCs/>
          <w:i/>
          <w:iCs/>
          <w:sz w:val="24"/>
          <w:szCs w:val="24"/>
          <w:lang w:val="it-IT"/>
        </w:rPr>
        <w:lastRenderedPageBreak/>
        <w:t xml:space="preserve">Q10. Si condividono gli elementi richiamati in ordine alla composizione dei costi operativi di gestione, </w:t>
      </w:r>
      <w:r w:rsidRPr="00B46B7C">
        <w:rPr>
          <w:rFonts w:ascii="Cambria Math" w:hAnsi="Cambria Math" w:cs="Cambria Math"/>
          <w:b/>
          <w:bCs/>
          <w:i/>
          <w:iCs/>
          <w:sz w:val="24"/>
          <w:szCs w:val="24"/>
          <w:lang w:val="it-IT"/>
        </w:rPr>
        <w:t>𝐶𝐺𝑎</w:t>
      </w:r>
      <w:r w:rsidRPr="00B46B7C">
        <w:rPr>
          <w:rFonts w:ascii="Arial" w:hAnsi="Arial" w:cs="Arial"/>
          <w:b/>
          <w:bCs/>
          <w:i/>
          <w:iCs/>
          <w:sz w:val="24"/>
          <w:szCs w:val="24"/>
          <w:lang w:val="it-IT"/>
        </w:rPr>
        <w:t>?</w:t>
      </w:r>
      <w:r>
        <w:rPr>
          <w:rFonts w:ascii="Arial" w:hAnsi="Arial" w:cs="Arial"/>
          <w:b/>
          <w:bCs/>
          <w:i/>
          <w:iCs/>
          <w:sz w:val="24"/>
          <w:szCs w:val="24"/>
          <w:lang w:val="it-IT"/>
        </w:rPr>
        <w:t xml:space="preserve"> </w:t>
      </w:r>
      <w:proofErr w:type="gramStart"/>
      <w:r w:rsidRPr="00B46B7C">
        <w:rPr>
          <w:rFonts w:ascii="Arial" w:hAnsi="Arial" w:cs="Arial"/>
          <w:b/>
          <w:bCs/>
          <w:i/>
          <w:iCs/>
          <w:sz w:val="24"/>
          <w:szCs w:val="24"/>
          <w:lang w:val="it-IT"/>
        </w:rPr>
        <w:t>Motivare</w:t>
      </w:r>
      <w:proofErr w:type="gramEnd"/>
      <w:r w:rsidRPr="00B46B7C">
        <w:rPr>
          <w:rFonts w:ascii="Arial" w:hAnsi="Arial" w:cs="Arial"/>
          <w:b/>
          <w:bCs/>
          <w:i/>
          <w:iCs/>
          <w:sz w:val="24"/>
          <w:szCs w:val="24"/>
          <w:lang w:val="it-IT"/>
        </w:rPr>
        <w:t xml:space="preserve"> la risposta.</w:t>
      </w:r>
    </w:p>
    <w:p w14:paraId="7318D84C" w14:textId="77777777" w:rsidR="00780860" w:rsidRDefault="00780860" w:rsidP="00780860">
      <w:pPr>
        <w:jc w:val="both"/>
        <w:rPr>
          <w:rFonts w:ascii="Arial" w:hAnsi="Arial" w:cs="Arial"/>
          <w:b/>
          <w:bCs/>
          <w:i/>
          <w:iCs/>
          <w:color w:val="0070C0"/>
          <w:sz w:val="24"/>
          <w:szCs w:val="24"/>
          <w:lang w:val="it-IT"/>
        </w:rPr>
      </w:pPr>
      <w:r>
        <w:rPr>
          <w:rFonts w:ascii="Arial" w:hAnsi="Arial" w:cs="Arial"/>
          <w:b/>
          <w:bCs/>
          <w:i/>
          <w:iCs/>
          <w:color w:val="0070C0"/>
          <w:sz w:val="24"/>
          <w:szCs w:val="24"/>
          <w:lang w:val="it-IT"/>
        </w:rPr>
        <w:t>R: …</w:t>
      </w:r>
    </w:p>
    <w:p w14:paraId="52B68171" w14:textId="31B8F987" w:rsidR="00780860" w:rsidRDefault="00780860" w:rsidP="00780860">
      <w:pPr>
        <w:jc w:val="both"/>
        <w:rPr>
          <w:rFonts w:ascii="Arial" w:hAnsi="Arial" w:cs="Arial"/>
          <w:b/>
          <w:bCs/>
          <w:i/>
          <w:iCs/>
          <w:sz w:val="24"/>
          <w:szCs w:val="24"/>
          <w:lang w:val="it-IT"/>
        </w:rPr>
      </w:pPr>
      <w:r w:rsidRPr="00B46B7C">
        <w:rPr>
          <w:rFonts w:ascii="Arial" w:hAnsi="Arial" w:cs="Arial"/>
          <w:b/>
          <w:bCs/>
          <w:i/>
          <w:iCs/>
          <w:sz w:val="24"/>
          <w:szCs w:val="24"/>
          <w:lang w:val="it-IT"/>
        </w:rPr>
        <w:t xml:space="preserve">Q11. In particolare, si ritiene condivisibile l’orientamento di riclassificare nella componente </w:t>
      </w:r>
      <w:r w:rsidRPr="00B46B7C">
        <w:rPr>
          <w:rFonts w:ascii="Cambria Math" w:hAnsi="Cambria Math" w:cs="Cambria Math"/>
          <w:b/>
          <w:bCs/>
          <w:i/>
          <w:iCs/>
          <w:sz w:val="24"/>
          <w:szCs w:val="24"/>
          <w:lang w:val="it-IT"/>
        </w:rPr>
        <w:t>𝐶𝑆𝐿𝑎</w:t>
      </w:r>
      <w:r w:rsidRPr="00B46B7C">
        <w:rPr>
          <w:rFonts w:ascii="Arial" w:hAnsi="Arial" w:cs="Arial"/>
          <w:b/>
          <w:bCs/>
          <w:i/>
          <w:iCs/>
          <w:sz w:val="24"/>
          <w:szCs w:val="24"/>
          <w:lang w:val="it-IT"/>
        </w:rPr>
        <w:t xml:space="preserve"> gli oneri afferenti alla “raccolta e trasporto dei rifiuti da esumazioni ed estumulazioni, e degli altri rifiuti provenienti da attività cimiteriale”, nonché alla “raccolta dei rifiuti vegetali” (oneri originariamente ricompresi, sulla base dei criteri recati dal MTR, rispettivamente nelle componenti di costo variabile </w:t>
      </w:r>
      <w:r w:rsidRPr="00B46B7C">
        <w:rPr>
          <w:rFonts w:ascii="Cambria Math" w:hAnsi="Cambria Math" w:cs="Cambria Math"/>
          <w:b/>
          <w:bCs/>
          <w:i/>
          <w:iCs/>
          <w:sz w:val="24"/>
          <w:szCs w:val="24"/>
          <w:lang w:val="it-IT"/>
        </w:rPr>
        <w:t>𝐶𝑅𝑇𝑎</w:t>
      </w:r>
      <w:r w:rsidRPr="00B46B7C">
        <w:rPr>
          <w:rFonts w:ascii="Arial" w:hAnsi="Arial" w:cs="Arial"/>
          <w:b/>
          <w:bCs/>
          <w:i/>
          <w:iCs/>
          <w:sz w:val="24"/>
          <w:szCs w:val="24"/>
          <w:lang w:val="it-IT"/>
        </w:rPr>
        <w:t xml:space="preserve"> e </w:t>
      </w:r>
      <w:r w:rsidRPr="00B46B7C">
        <w:rPr>
          <w:rFonts w:ascii="Cambria Math" w:hAnsi="Cambria Math" w:cs="Cambria Math"/>
          <w:b/>
          <w:bCs/>
          <w:i/>
          <w:iCs/>
          <w:sz w:val="24"/>
          <w:szCs w:val="24"/>
          <w:lang w:val="it-IT"/>
        </w:rPr>
        <w:t>𝐶𝑅𝐷𝑎</w:t>
      </w:r>
      <w:r w:rsidRPr="00B46B7C">
        <w:rPr>
          <w:rFonts w:ascii="Arial" w:hAnsi="Arial" w:cs="Arial"/>
          <w:b/>
          <w:bCs/>
          <w:i/>
          <w:iCs/>
          <w:sz w:val="24"/>
          <w:szCs w:val="24"/>
          <w:lang w:val="it-IT"/>
        </w:rPr>
        <w:t xml:space="preserve"> ), per tener conto della natura di servizio “indivisibile” delle citate attività e dei possibili effetti delle novità normative introdotte dal decreto legislativo 116/2020?</w:t>
      </w:r>
      <w:r>
        <w:rPr>
          <w:rFonts w:ascii="Arial" w:hAnsi="Arial" w:cs="Arial"/>
          <w:b/>
          <w:bCs/>
          <w:i/>
          <w:iCs/>
          <w:sz w:val="24"/>
          <w:szCs w:val="24"/>
          <w:lang w:val="it-IT"/>
        </w:rPr>
        <w:t xml:space="preserve"> </w:t>
      </w:r>
      <w:r w:rsidRPr="00B46B7C">
        <w:rPr>
          <w:rFonts w:ascii="Arial" w:hAnsi="Arial" w:cs="Arial"/>
          <w:b/>
          <w:bCs/>
          <w:i/>
          <w:iCs/>
          <w:sz w:val="24"/>
          <w:szCs w:val="24"/>
          <w:lang w:val="it-IT"/>
        </w:rPr>
        <w:t>Motivare la risposta.</w:t>
      </w:r>
    </w:p>
    <w:p w14:paraId="6CFBEB9B" w14:textId="77777777" w:rsidR="00780860" w:rsidRDefault="00780860" w:rsidP="00780860">
      <w:pPr>
        <w:jc w:val="both"/>
        <w:rPr>
          <w:rFonts w:ascii="Arial" w:hAnsi="Arial" w:cs="Arial"/>
          <w:b/>
          <w:bCs/>
          <w:i/>
          <w:iCs/>
          <w:color w:val="0070C0"/>
          <w:sz w:val="24"/>
          <w:szCs w:val="24"/>
          <w:lang w:val="it-IT"/>
        </w:rPr>
      </w:pPr>
      <w:r>
        <w:rPr>
          <w:rFonts w:ascii="Arial" w:hAnsi="Arial" w:cs="Arial"/>
          <w:b/>
          <w:bCs/>
          <w:i/>
          <w:iCs/>
          <w:color w:val="0070C0"/>
          <w:sz w:val="24"/>
          <w:szCs w:val="24"/>
          <w:lang w:val="it-IT"/>
        </w:rPr>
        <w:t>R: …</w:t>
      </w:r>
    </w:p>
    <w:p w14:paraId="02A5D8E8" w14:textId="272F4A92" w:rsidR="00780860" w:rsidRDefault="00780860" w:rsidP="00780860">
      <w:pPr>
        <w:jc w:val="both"/>
        <w:rPr>
          <w:rFonts w:ascii="Arial" w:hAnsi="Arial" w:cs="Arial"/>
          <w:b/>
          <w:bCs/>
          <w:i/>
          <w:iCs/>
          <w:sz w:val="24"/>
          <w:szCs w:val="24"/>
          <w:lang w:val="it-IT"/>
        </w:rPr>
      </w:pPr>
      <w:r w:rsidRPr="00B46B7C">
        <w:rPr>
          <w:rFonts w:ascii="Arial" w:hAnsi="Arial" w:cs="Arial"/>
          <w:b/>
          <w:bCs/>
          <w:i/>
          <w:iCs/>
          <w:sz w:val="24"/>
          <w:szCs w:val="24"/>
          <w:lang w:val="it-IT"/>
        </w:rPr>
        <w:t>Q12. Con riferimento alle singole voci di costo per le quali si conferma l’impostazione seguita per il primo periodo regolatorio, si ritiene di poter segnalare profili di potenziale criticità anche alla luce di quanto emerso in fase di prima implementazione della metodologia varata dall’Autorità?</w:t>
      </w:r>
      <w:r>
        <w:rPr>
          <w:rFonts w:ascii="Arial" w:hAnsi="Arial" w:cs="Arial"/>
          <w:b/>
          <w:bCs/>
          <w:i/>
          <w:iCs/>
          <w:sz w:val="24"/>
          <w:szCs w:val="24"/>
          <w:lang w:val="it-IT"/>
        </w:rPr>
        <w:t xml:space="preserve"> </w:t>
      </w:r>
      <w:proofErr w:type="gramStart"/>
      <w:r w:rsidRPr="00B46B7C">
        <w:rPr>
          <w:rFonts w:ascii="Arial" w:hAnsi="Arial" w:cs="Arial"/>
          <w:b/>
          <w:bCs/>
          <w:i/>
          <w:iCs/>
          <w:sz w:val="24"/>
          <w:szCs w:val="24"/>
          <w:lang w:val="it-IT"/>
        </w:rPr>
        <w:t>Motivare</w:t>
      </w:r>
      <w:proofErr w:type="gramEnd"/>
      <w:r w:rsidRPr="00B46B7C">
        <w:rPr>
          <w:rFonts w:ascii="Arial" w:hAnsi="Arial" w:cs="Arial"/>
          <w:b/>
          <w:bCs/>
          <w:i/>
          <w:iCs/>
          <w:sz w:val="24"/>
          <w:szCs w:val="24"/>
          <w:lang w:val="it-IT"/>
        </w:rPr>
        <w:t xml:space="preserve"> la risposta.</w:t>
      </w:r>
    </w:p>
    <w:p w14:paraId="36649F7C" w14:textId="77777777" w:rsidR="00780860" w:rsidRDefault="00780860" w:rsidP="00780860">
      <w:pPr>
        <w:jc w:val="both"/>
        <w:rPr>
          <w:rFonts w:ascii="Arial" w:hAnsi="Arial" w:cs="Arial"/>
          <w:b/>
          <w:bCs/>
          <w:i/>
          <w:iCs/>
          <w:color w:val="0070C0"/>
          <w:sz w:val="24"/>
          <w:szCs w:val="24"/>
          <w:lang w:val="it-IT"/>
        </w:rPr>
      </w:pPr>
      <w:r>
        <w:rPr>
          <w:rFonts w:ascii="Arial" w:hAnsi="Arial" w:cs="Arial"/>
          <w:b/>
          <w:bCs/>
          <w:i/>
          <w:iCs/>
          <w:color w:val="0070C0"/>
          <w:sz w:val="24"/>
          <w:szCs w:val="24"/>
          <w:lang w:val="it-IT"/>
        </w:rPr>
        <w:t>R: …</w:t>
      </w:r>
    </w:p>
    <w:p w14:paraId="1C9EFBC6" w14:textId="72680704" w:rsidR="00780860" w:rsidRDefault="00780860" w:rsidP="00780860">
      <w:pPr>
        <w:jc w:val="both"/>
        <w:rPr>
          <w:rFonts w:ascii="Arial" w:hAnsi="Arial" w:cs="Arial"/>
          <w:b/>
          <w:bCs/>
          <w:i/>
          <w:iCs/>
          <w:sz w:val="24"/>
          <w:szCs w:val="24"/>
          <w:lang w:val="it-IT"/>
        </w:rPr>
      </w:pPr>
      <w:r w:rsidRPr="00B46B7C">
        <w:rPr>
          <w:rFonts w:ascii="Arial" w:hAnsi="Arial" w:cs="Arial"/>
          <w:b/>
          <w:bCs/>
          <w:i/>
          <w:iCs/>
          <w:sz w:val="24"/>
          <w:szCs w:val="24"/>
          <w:lang w:val="it-IT"/>
        </w:rPr>
        <w:t>Q13. L’introduzione delle prospettate componenti di costo di natura previsionale si ritengono efficaci ai fini del mantenimento dell’equilibrio economico finanziario e degli opportuni incentivi al miglioramento della qualità del servizio offerto</w:t>
      </w:r>
      <w:r>
        <w:rPr>
          <w:rFonts w:ascii="Arial" w:hAnsi="Arial" w:cs="Arial"/>
          <w:b/>
          <w:bCs/>
          <w:i/>
          <w:iCs/>
          <w:sz w:val="24"/>
          <w:szCs w:val="24"/>
          <w:lang w:val="it-IT"/>
        </w:rPr>
        <w:t xml:space="preserve"> </w:t>
      </w:r>
      <w:r w:rsidRPr="00B46B7C">
        <w:rPr>
          <w:rFonts w:ascii="Arial" w:hAnsi="Arial" w:cs="Arial"/>
          <w:b/>
          <w:bCs/>
          <w:i/>
          <w:iCs/>
          <w:sz w:val="24"/>
          <w:szCs w:val="24"/>
          <w:lang w:val="it-IT"/>
        </w:rPr>
        <w:t>e al sostegno di iniziative di rafforzamento gestionale?</w:t>
      </w:r>
      <w:r>
        <w:rPr>
          <w:rFonts w:ascii="Arial" w:hAnsi="Arial" w:cs="Arial"/>
          <w:b/>
          <w:bCs/>
          <w:i/>
          <w:iCs/>
          <w:sz w:val="24"/>
          <w:szCs w:val="24"/>
          <w:lang w:val="it-IT"/>
        </w:rPr>
        <w:t xml:space="preserve"> </w:t>
      </w:r>
      <w:r w:rsidRPr="00B46B7C">
        <w:rPr>
          <w:rFonts w:ascii="Arial" w:hAnsi="Arial" w:cs="Arial"/>
          <w:b/>
          <w:bCs/>
          <w:i/>
          <w:iCs/>
          <w:sz w:val="24"/>
          <w:szCs w:val="24"/>
          <w:lang w:val="it-IT"/>
        </w:rPr>
        <w:t>Motivare la risposta.</w:t>
      </w:r>
    </w:p>
    <w:p w14:paraId="3E7FCC94" w14:textId="77777777" w:rsidR="00780860" w:rsidRDefault="00780860" w:rsidP="00780860">
      <w:pPr>
        <w:jc w:val="both"/>
        <w:rPr>
          <w:rFonts w:ascii="Arial" w:hAnsi="Arial" w:cs="Arial"/>
          <w:b/>
          <w:bCs/>
          <w:i/>
          <w:iCs/>
          <w:color w:val="0070C0"/>
          <w:sz w:val="24"/>
          <w:szCs w:val="24"/>
          <w:lang w:val="it-IT"/>
        </w:rPr>
      </w:pPr>
      <w:r>
        <w:rPr>
          <w:rFonts w:ascii="Arial" w:hAnsi="Arial" w:cs="Arial"/>
          <w:b/>
          <w:bCs/>
          <w:i/>
          <w:iCs/>
          <w:color w:val="0070C0"/>
          <w:sz w:val="24"/>
          <w:szCs w:val="24"/>
          <w:lang w:val="it-IT"/>
        </w:rPr>
        <w:t>R: …</w:t>
      </w:r>
    </w:p>
    <w:p w14:paraId="4915B03E" w14:textId="77777777" w:rsidR="00377C8C" w:rsidRDefault="00377C8C" w:rsidP="00390366">
      <w:pPr>
        <w:jc w:val="both"/>
        <w:rPr>
          <w:rFonts w:ascii="Arial" w:hAnsi="Arial" w:cs="Arial"/>
          <w:sz w:val="24"/>
          <w:szCs w:val="24"/>
          <w:lang w:val="it-IT"/>
        </w:rPr>
      </w:pPr>
    </w:p>
    <w:p w14:paraId="442188BF" w14:textId="48E0AE3B" w:rsidR="00377C8C" w:rsidRDefault="00B46B7C" w:rsidP="00390366">
      <w:pPr>
        <w:jc w:val="both"/>
        <w:rPr>
          <w:rFonts w:ascii="Arial" w:hAnsi="Arial" w:cs="Arial"/>
          <w:b/>
          <w:bCs/>
          <w:color w:val="0070C0"/>
          <w:sz w:val="24"/>
          <w:szCs w:val="24"/>
          <w:lang w:val="it-IT"/>
        </w:rPr>
      </w:pPr>
      <w:r>
        <w:rPr>
          <w:rFonts w:ascii="Arial" w:hAnsi="Arial" w:cs="Arial"/>
          <w:b/>
          <w:bCs/>
          <w:color w:val="0070C0"/>
          <w:sz w:val="24"/>
          <w:szCs w:val="24"/>
          <w:lang w:val="it-IT"/>
        </w:rPr>
        <w:t>Costi comuni</w:t>
      </w:r>
    </w:p>
    <w:p w14:paraId="6E88F415" w14:textId="10600E86" w:rsidR="00780860" w:rsidRDefault="00780860" w:rsidP="00390366">
      <w:pPr>
        <w:jc w:val="both"/>
        <w:rPr>
          <w:rFonts w:ascii="Arial" w:hAnsi="Arial" w:cs="Arial"/>
          <w:b/>
          <w:bCs/>
          <w:i/>
          <w:iCs/>
          <w:sz w:val="24"/>
          <w:szCs w:val="24"/>
          <w:lang w:val="it-IT"/>
        </w:rPr>
      </w:pPr>
      <w:r w:rsidRPr="00B46B7C">
        <w:rPr>
          <w:rFonts w:ascii="Arial" w:hAnsi="Arial" w:cs="Arial"/>
          <w:b/>
          <w:bCs/>
          <w:i/>
          <w:iCs/>
          <w:sz w:val="24"/>
          <w:szCs w:val="24"/>
          <w:lang w:val="it-IT"/>
        </w:rPr>
        <w:t xml:space="preserve">Q14. Si condividono gli elementi richiamati in ordine alla composizione dei costi comuni, </w:t>
      </w:r>
      <w:r w:rsidRPr="00B46B7C">
        <w:rPr>
          <w:rFonts w:ascii="Cambria Math" w:hAnsi="Cambria Math" w:cs="Cambria Math"/>
          <w:b/>
          <w:bCs/>
          <w:i/>
          <w:iCs/>
          <w:sz w:val="24"/>
          <w:szCs w:val="24"/>
          <w:lang w:val="it-IT"/>
        </w:rPr>
        <w:t>𝐶𝐶𝑎</w:t>
      </w:r>
      <w:r w:rsidRPr="00B46B7C">
        <w:rPr>
          <w:rFonts w:ascii="Arial" w:hAnsi="Arial" w:cs="Arial"/>
          <w:b/>
          <w:bCs/>
          <w:i/>
          <w:iCs/>
          <w:sz w:val="24"/>
          <w:szCs w:val="24"/>
          <w:lang w:val="it-IT"/>
        </w:rPr>
        <w:t>? Quali ulteriori elementi si ritiene utile segnalare ai fini della definizione degli stessi per il secondo periodo regolatorio? Motivare la risposta</w:t>
      </w:r>
      <w:r>
        <w:rPr>
          <w:rFonts w:ascii="Arial" w:hAnsi="Arial" w:cs="Arial"/>
          <w:b/>
          <w:bCs/>
          <w:i/>
          <w:iCs/>
          <w:sz w:val="24"/>
          <w:szCs w:val="24"/>
          <w:lang w:val="it-IT"/>
        </w:rPr>
        <w:t>.</w:t>
      </w:r>
    </w:p>
    <w:p w14:paraId="0DAB5C57" w14:textId="77777777" w:rsidR="00780860" w:rsidRDefault="00780860" w:rsidP="00780860">
      <w:pPr>
        <w:jc w:val="both"/>
        <w:rPr>
          <w:rFonts w:ascii="Arial" w:hAnsi="Arial" w:cs="Arial"/>
          <w:b/>
          <w:bCs/>
          <w:i/>
          <w:iCs/>
          <w:color w:val="0070C0"/>
          <w:sz w:val="24"/>
          <w:szCs w:val="24"/>
          <w:lang w:val="it-IT"/>
        </w:rPr>
      </w:pPr>
      <w:r>
        <w:rPr>
          <w:rFonts w:ascii="Arial" w:hAnsi="Arial" w:cs="Arial"/>
          <w:b/>
          <w:bCs/>
          <w:i/>
          <w:iCs/>
          <w:color w:val="0070C0"/>
          <w:sz w:val="24"/>
          <w:szCs w:val="24"/>
          <w:lang w:val="it-IT"/>
        </w:rPr>
        <w:t>R: …</w:t>
      </w:r>
    </w:p>
    <w:p w14:paraId="7BCAA209" w14:textId="27B72756" w:rsidR="00780860" w:rsidRDefault="00780860" w:rsidP="00780860">
      <w:pPr>
        <w:jc w:val="both"/>
        <w:rPr>
          <w:rFonts w:ascii="Arial" w:hAnsi="Arial" w:cs="Arial"/>
          <w:b/>
          <w:bCs/>
          <w:i/>
          <w:iCs/>
          <w:sz w:val="24"/>
          <w:szCs w:val="24"/>
          <w:lang w:val="it-IT"/>
        </w:rPr>
      </w:pPr>
      <w:r w:rsidRPr="00B46B7C">
        <w:rPr>
          <w:rFonts w:ascii="Arial" w:hAnsi="Arial" w:cs="Arial"/>
          <w:b/>
          <w:bCs/>
          <w:i/>
          <w:iCs/>
          <w:sz w:val="24"/>
          <w:szCs w:val="24"/>
          <w:lang w:val="it-IT"/>
        </w:rPr>
        <w:t>Q15. In alternativa alla proposta sopra illustrata con riferimento ai costi per la promozione di campagne ambientali e ai costi di prevenzione della produzione di rifiuti urbani, si riterrebbe più efficace prevedere una specifica componente dedicata, cui collegare un apposito meccanismo che favorisca lo sviluppo delle attività in parola? Quali accorgimenti di natura incentivante si ritiene di poter proporre al riguardo? Motivare la risposta.</w:t>
      </w:r>
    </w:p>
    <w:p w14:paraId="41672976" w14:textId="77777777" w:rsidR="00780860" w:rsidRDefault="00780860" w:rsidP="00780860">
      <w:pPr>
        <w:jc w:val="both"/>
        <w:rPr>
          <w:rFonts w:ascii="Arial" w:hAnsi="Arial" w:cs="Arial"/>
          <w:b/>
          <w:bCs/>
          <w:i/>
          <w:iCs/>
          <w:color w:val="0070C0"/>
          <w:sz w:val="24"/>
          <w:szCs w:val="24"/>
          <w:lang w:val="it-IT"/>
        </w:rPr>
      </w:pPr>
      <w:r>
        <w:rPr>
          <w:rFonts w:ascii="Arial" w:hAnsi="Arial" w:cs="Arial"/>
          <w:b/>
          <w:bCs/>
          <w:i/>
          <w:iCs/>
          <w:color w:val="0070C0"/>
          <w:sz w:val="24"/>
          <w:szCs w:val="24"/>
          <w:lang w:val="it-IT"/>
        </w:rPr>
        <w:t>R: …</w:t>
      </w:r>
    </w:p>
    <w:p w14:paraId="2DAE6E02" w14:textId="77777777" w:rsidR="00780860" w:rsidRPr="00780860" w:rsidRDefault="00780860" w:rsidP="00780860">
      <w:pPr>
        <w:jc w:val="both"/>
        <w:rPr>
          <w:rFonts w:ascii="Arial" w:hAnsi="Arial" w:cs="Arial"/>
          <w:b/>
          <w:bCs/>
          <w:i/>
          <w:iCs/>
          <w:color w:val="0070C0"/>
          <w:sz w:val="6"/>
          <w:szCs w:val="6"/>
          <w:lang w:val="it-IT"/>
        </w:rPr>
      </w:pPr>
    </w:p>
    <w:p w14:paraId="039B015C" w14:textId="77777777" w:rsidR="00761CF8" w:rsidRDefault="00761CF8" w:rsidP="00390366">
      <w:pPr>
        <w:jc w:val="both"/>
        <w:rPr>
          <w:rFonts w:ascii="Arial" w:hAnsi="Arial" w:cs="Arial"/>
          <w:b/>
          <w:bCs/>
          <w:color w:val="0070C0"/>
          <w:sz w:val="24"/>
          <w:szCs w:val="24"/>
          <w:lang w:val="it-IT"/>
        </w:rPr>
      </w:pPr>
    </w:p>
    <w:p w14:paraId="6678F4C9" w14:textId="77777777" w:rsidR="00761CF8" w:rsidRDefault="00761CF8" w:rsidP="00390366">
      <w:pPr>
        <w:jc w:val="both"/>
        <w:rPr>
          <w:rFonts w:ascii="Arial" w:hAnsi="Arial" w:cs="Arial"/>
          <w:b/>
          <w:bCs/>
          <w:color w:val="0070C0"/>
          <w:sz w:val="24"/>
          <w:szCs w:val="24"/>
          <w:lang w:val="it-IT"/>
        </w:rPr>
      </w:pPr>
    </w:p>
    <w:p w14:paraId="299B80EF" w14:textId="6C8FDF5D" w:rsidR="00B46B7C" w:rsidRDefault="00B46B7C" w:rsidP="00390366">
      <w:pPr>
        <w:jc w:val="both"/>
        <w:rPr>
          <w:rFonts w:ascii="Arial" w:hAnsi="Arial" w:cs="Arial"/>
          <w:b/>
          <w:bCs/>
          <w:color w:val="0070C0"/>
          <w:sz w:val="24"/>
          <w:szCs w:val="24"/>
          <w:lang w:val="it-IT"/>
        </w:rPr>
      </w:pPr>
      <w:r w:rsidRPr="00B46B7C">
        <w:rPr>
          <w:rFonts w:ascii="Arial" w:hAnsi="Arial" w:cs="Arial"/>
          <w:b/>
          <w:bCs/>
          <w:color w:val="0070C0"/>
          <w:sz w:val="24"/>
          <w:szCs w:val="24"/>
          <w:lang w:val="it-IT"/>
        </w:rPr>
        <w:lastRenderedPageBreak/>
        <w:t>Costi d’uso del capitale</w:t>
      </w:r>
    </w:p>
    <w:p w14:paraId="388A9145" w14:textId="36F3CDCC" w:rsidR="00780860" w:rsidRDefault="00780860" w:rsidP="00780860">
      <w:pPr>
        <w:jc w:val="both"/>
        <w:rPr>
          <w:rFonts w:ascii="Arial" w:hAnsi="Arial" w:cs="Arial"/>
          <w:b/>
          <w:bCs/>
          <w:i/>
          <w:iCs/>
          <w:sz w:val="24"/>
          <w:szCs w:val="24"/>
          <w:lang w:val="it-IT"/>
        </w:rPr>
      </w:pPr>
      <w:r w:rsidRPr="00B46B7C">
        <w:rPr>
          <w:rFonts w:ascii="Arial" w:hAnsi="Arial" w:cs="Arial"/>
          <w:b/>
          <w:bCs/>
          <w:i/>
          <w:iCs/>
          <w:sz w:val="24"/>
          <w:szCs w:val="24"/>
          <w:lang w:val="it-IT"/>
        </w:rPr>
        <w:t>Q16. Si condividono i valori assunti quali tempi di incasso e di pagamento nel calcolo del capitale circolante netto? Motivare la risposta.</w:t>
      </w:r>
    </w:p>
    <w:p w14:paraId="0117218B" w14:textId="77777777" w:rsidR="00780860" w:rsidRDefault="00780860" w:rsidP="00780860">
      <w:pPr>
        <w:jc w:val="both"/>
        <w:rPr>
          <w:rFonts w:ascii="Arial" w:hAnsi="Arial" w:cs="Arial"/>
          <w:b/>
          <w:bCs/>
          <w:i/>
          <w:iCs/>
          <w:color w:val="0070C0"/>
          <w:sz w:val="24"/>
          <w:szCs w:val="24"/>
          <w:lang w:val="it-IT"/>
        </w:rPr>
      </w:pPr>
      <w:r>
        <w:rPr>
          <w:rFonts w:ascii="Arial" w:hAnsi="Arial" w:cs="Arial"/>
          <w:b/>
          <w:bCs/>
          <w:i/>
          <w:iCs/>
          <w:color w:val="0070C0"/>
          <w:sz w:val="24"/>
          <w:szCs w:val="24"/>
          <w:lang w:val="it-IT"/>
        </w:rPr>
        <w:t>R: …</w:t>
      </w:r>
    </w:p>
    <w:p w14:paraId="422ADAC2" w14:textId="77777777" w:rsidR="00780860" w:rsidRDefault="00780860" w:rsidP="00780860">
      <w:pPr>
        <w:jc w:val="both"/>
        <w:rPr>
          <w:rFonts w:ascii="Arial" w:hAnsi="Arial" w:cs="Arial"/>
          <w:b/>
          <w:bCs/>
          <w:i/>
          <w:iCs/>
          <w:sz w:val="24"/>
          <w:szCs w:val="24"/>
          <w:lang w:val="it-IT"/>
        </w:rPr>
      </w:pPr>
    </w:p>
    <w:p w14:paraId="460D8337" w14:textId="506093C5" w:rsidR="0038085D" w:rsidRDefault="00B46B7C" w:rsidP="00390366">
      <w:pPr>
        <w:jc w:val="both"/>
        <w:rPr>
          <w:rFonts w:ascii="Arial" w:hAnsi="Arial" w:cs="Arial"/>
          <w:b/>
          <w:bCs/>
          <w:color w:val="0070C0"/>
          <w:sz w:val="24"/>
          <w:szCs w:val="24"/>
          <w:lang w:val="it-IT"/>
        </w:rPr>
      </w:pPr>
      <w:r w:rsidRPr="00B46B7C">
        <w:rPr>
          <w:rFonts w:ascii="Arial" w:hAnsi="Arial" w:cs="Arial"/>
          <w:b/>
          <w:bCs/>
          <w:color w:val="0070C0"/>
          <w:sz w:val="24"/>
          <w:szCs w:val="24"/>
          <w:lang w:val="it-IT"/>
        </w:rPr>
        <w:t>Ammortamento delle immobilizzazioni</w:t>
      </w:r>
    </w:p>
    <w:p w14:paraId="0DFD8FC2" w14:textId="5380C6F7" w:rsidR="00780860" w:rsidRDefault="00780860" w:rsidP="00780860">
      <w:pPr>
        <w:jc w:val="both"/>
        <w:rPr>
          <w:rFonts w:ascii="Arial" w:hAnsi="Arial" w:cs="Arial"/>
          <w:b/>
          <w:bCs/>
          <w:i/>
          <w:iCs/>
          <w:sz w:val="24"/>
          <w:szCs w:val="24"/>
          <w:lang w:val="it-IT"/>
        </w:rPr>
      </w:pPr>
      <w:r w:rsidRPr="00B46B7C">
        <w:rPr>
          <w:rFonts w:ascii="Arial" w:hAnsi="Arial" w:cs="Arial"/>
          <w:b/>
          <w:bCs/>
          <w:i/>
          <w:iCs/>
          <w:sz w:val="24"/>
          <w:szCs w:val="24"/>
          <w:lang w:val="it-IT"/>
        </w:rPr>
        <w:t xml:space="preserve">Q17. Si ritengono condivisibili le categorie di cespiti e le relative vite utili regolatorie individuate dall’Autorità? Rispetto agli intervalli proposti, quali valori di vita utile sono considerati più adeguati </w:t>
      </w:r>
      <w:proofErr w:type="gramStart"/>
      <w:r w:rsidRPr="00B46B7C">
        <w:rPr>
          <w:rFonts w:ascii="Arial" w:hAnsi="Arial" w:cs="Arial"/>
          <w:b/>
          <w:bCs/>
          <w:i/>
          <w:iCs/>
          <w:sz w:val="24"/>
          <w:szCs w:val="24"/>
          <w:lang w:val="it-IT"/>
        </w:rPr>
        <w:t>per le</w:t>
      </w:r>
      <w:proofErr w:type="gramEnd"/>
      <w:r w:rsidRPr="00B46B7C">
        <w:rPr>
          <w:rFonts w:ascii="Arial" w:hAnsi="Arial" w:cs="Arial"/>
          <w:b/>
          <w:bCs/>
          <w:i/>
          <w:iCs/>
          <w:sz w:val="24"/>
          <w:szCs w:val="24"/>
          <w:lang w:val="it-IT"/>
        </w:rPr>
        <w:t xml:space="preserve"> specifiche categorie di cespiti? Motivare la risposta. </w:t>
      </w:r>
    </w:p>
    <w:p w14:paraId="0E985CA0" w14:textId="77777777" w:rsidR="00780860" w:rsidRDefault="00780860" w:rsidP="00780860">
      <w:pPr>
        <w:jc w:val="both"/>
        <w:rPr>
          <w:rFonts w:ascii="Arial" w:hAnsi="Arial" w:cs="Arial"/>
          <w:b/>
          <w:bCs/>
          <w:i/>
          <w:iCs/>
          <w:color w:val="0070C0"/>
          <w:sz w:val="24"/>
          <w:szCs w:val="24"/>
          <w:lang w:val="it-IT"/>
        </w:rPr>
      </w:pPr>
      <w:r>
        <w:rPr>
          <w:rFonts w:ascii="Arial" w:hAnsi="Arial" w:cs="Arial"/>
          <w:b/>
          <w:bCs/>
          <w:i/>
          <w:iCs/>
          <w:color w:val="0070C0"/>
          <w:sz w:val="24"/>
          <w:szCs w:val="24"/>
          <w:lang w:val="it-IT"/>
        </w:rPr>
        <w:t>R: …</w:t>
      </w:r>
    </w:p>
    <w:p w14:paraId="2411DDC9" w14:textId="5B6FB0C4" w:rsidR="00780860" w:rsidRDefault="00780860" w:rsidP="00780860">
      <w:pPr>
        <w:jc w:val="both"/>
        <w:rPr>
          <w:rFonts w:ascii="Arial" w:hAnsi="Arial" w:cs="Arial"/>
          <w:b/>
          <w:bCs/>
          <w:color w:val="0070C0"/>
          <w:sz w:val="24"/>
          <w:szCs w:val="24"/>
          <w:lang w:val="it-IT"/>
        </w:rPr>
      </w:pPr>
      <w:r w:rsidRPr="00B46B7C">
        <w:rPr>
          <w:rFonts w:ascii="Arial" w:hAnsi="Arial" w:cs="Arial"/>
          <w:b/>
          <w:bCs/>
          <w:i/>
          <w:iCs/>
          <w:sz w:val="24"/>
          <w:szCs w:val="24"/>
          <w:lang w:val="it-IT"/>
        </w:rPr>
        <w:t>Q18. Si ritiene condivisibile, al fine di consentire il recupero degli investimenti effettuati, l’ipotesi di consentire all’Ente territorialmente competente di prevedere la riduzione della vita utile regolatoria nel caso in cui vincoli autorizzativi, normativi o di pianificazione prevedano una chiusura anticipata dell’impianto? Motivare la risposta.</w:t>
      </w:r>
    </w:p>
    <w:p w14:paraId="062628E4" w14:textId="77777777" w:rsidR="00780860" w:rsidRDefault="00780860" w:rsidP="00780860">
      <w:pPr>
        <w:jc w:val="both"/>
        <w:rPr>
          <w:rFonts w:ascii="Arial" w:hAnsi="Arial" w:cs="Arial"/>
          <w:b/>
          <w:bCs/>
          <w:i/>
          <w:iCs/>
          <w:color w:val="0070C0"/>
          <w:sz w:val="24"/>
          <w:szCs w:val="24"/>
          <w:lang w:val="it-IT"/>
        </w:rPr>
      </w:pPr>
      <w:r>
        <w:rPr>
          <w:rFonts w:ascii="Arial" w:hAnsi="Arial" w:cs="Arial"/>
          <w:b/>
          <w:bCs/>
          <w:i/>
          <w:iCs/>
          <w:color w:val="0070C0"/>
          <w:sz w:val="24"/>
          <w:szCs w:val="24"/>
          <w:lang w:val="it-IT"/>
        </w:rPr>
        <w:t>R: …</w:t>
      </w:r>
    </w:p>
    <w:p w14:paraId="06B9A674" w14:textId="016B36FB" w:rsidR="0038085D" w:rsidRDefault="0038085D" w:rsidP="00390366">
      <w:pPr>
        <w:jc w:val="both"/>
        <w:rPr>
          <w:rFonts w:ascii="Arial" w:hAnsi="Arial" w:cs="Arial"/>
          <w:b/>
          <w:bCs/>
          <w:color w:val="0070C0"/>
          <w:sz w:val="24"/>
          <w:szCs w:val="24"/>
          <w:lang w:val="it-IT"/>
        </w:rPr>
      </w:pPr>
    </w:p>
    <w:p w14:paraId="0928FA0D" w14:textId="1D0B2D9D" w:rsidR="00B46B7C" w:rsidRDefault="00B46B7C" w:rsidP="00390366">
      <w:pPr>
        <w:jc w:val="both"/>
        <w:rPr>
          <w:rFonts w:ascii="Arial" w:hAnsi="Arial" w:cs="Arial"/>
          <w:b/>
          <w:bCs/>
          <w:color w:val="0070C0"/>
          <w:sz w:val="24"/>
          <w:szCs w:val="24"/>
          <w:lang w:val="it-IT"/>
        </w:rPr>
      </w:pPr>
      <w:r w:rsidRPr="00B46B7C">
        <w:rPr>
          <w:rFonts w:ascii="Arial" w:hAnsi="Arial" w:cs="Arial"/>
          <w:b/>
          <w:bCs/>
          <w:color w:val="0070C0"/>
          <w:sz w:val="24"/>
          <w:szCs w:val="24"/>
          <w:lang w:val="it-IT"/>
        </w:rPr>
        <w:t>Accantonamenti ammessi a riconoscimento tariffario</w:t>
      </w:r>
    </w:p>
    <w:p w14:paraId="60518C67" w14:textId="33842A21" w:rsidR="00780860" w:rsidRDefault="00780860" w:rsidP="00780860">
      <w:pPr>
        <w:jc w:val="both"/>
        <w:rPr>
          <w:rFonts w:ascii="Arial" w:hAnsi="Arial" w:cs="Arial"/>
          <w:b/>
          <w:bCs/>
          <w:i/>
          <w:iCs/>
          <w:sz w:val="24"/>
          <w:szCs w:val="24"/>
          <w:lang w:val="it-IT"/>
        </w:rPr>
      </w:pPr>
      <w:r w:rsidRPr="00B46B7C">
        <w:rPr>
          <w:rFonts w:ascii="Arial" w:hAnsi="Arial" w:cs="Arial"/>
          <w:b/>
          <w:bCs/>
          <w:i/>
          <w:iCs/>
          <w:sz w:val="24"/>
          <w:szCs w:val="24"/>
          <w:lang w:val="it-IT"/>
        </w:rPr>
        <w:t xml:space="preserve">Q19. Si condivide l’orientamento prospettato con riferimento agli accantonamenti ammessi a riconoscimento tariffario? Motivare la risposta. </w:t>
      </w:r>
    </w:p>
    <w:p w14:paraId="00FB603D" w14:textId="77777777" w:rsidR="00780860" w:rsidRDefault="00780860" w:rsidP="00780860">
      <w:pPr>
        <w:jc w:val="both"/>
        <w:rPr>
          <w:rFonts w:ascii="Arial" w:hAnsi="Arial" w:cs="Arial"/>
          <w:b/>
          <w:bCs/>
          <w:i/>
          <w:iCs/>
          <w:color w:val="0070C0"/>
          <w:sz w:val="24"/>
          <w:szCs w:val="24"/>
          <w:lang w:val="it-IT"/>
        </w:rPr>
      </w:pPr>
      <w:r>
        <w:rPr>
          <w:rFonts w:ascii="Arial" w:hAnsi="Arial" w:cs="Arial"/>
          <w:b/>
          <w:bCs/>
          <w:i/>
          <w:iCs/>
          <w:color w:val="0070C0"/>
          <w:sz w:val="24"/>
          <w:szCs w:val="24"/>
          <w:lang w:val="it-IT"/>
        </w:rPr>
        <w:t>R: …</w:t>
      </w:r>
    </w:p>
    <w:p w14:paraId="0273F808" w14:textId="77777777" w:rsidR="00780860" w:rsidRDefault="00780860" w:rsidP="00780860">
      <w:pPr>
        <w:jc w:val="both"/>
        <w:rPr>
          <w:rFonts w:ascii="Arial" w:hAnsi="Arial" w:cs="Arial"/>
          <w:b/>
          <w:bCs/>
          <w:i/>
          <w:iCs/>
          <w:sz w:val="24"/>
          <w:szCs w:val="24"/>
          <w:lang w:val="it-IT"/>
        </w:rPr>
      </w:pPr>
      <w:r w:rsidRPr="00B46B7C">
        <w:rPr>
          <w:rFonts w:ascii="Arial" w:hAnsi="Arial" w:cs="Arial"/>
          <w:b/>
          <w:bCs/>
          <w:i/>
          <w:iCs/>
          <w:sz w:val="24"/>
          <w:szCs w:val="24"/>
          <w:lang w:val="it-IT"/>
        </w:rPr>
        <w:t>Q20. Al fine di favorire un percorso di gradualità nel passaggio al regime di tariffa corrispettiva, quali soluzioni si ritiene possano essere valutate? In particolare, può essere utile un riconoscimento graduale, in riduzione, della componente a copertura degli accantonamenti relativi ai crediti, che preveda una costante diminuzione dell’onere inizialmente associato alle realtà in regime di TARI tributo, fino al raggiungimento della soglia inferiore, in un arco di tempo predefinito, corrispondente a quello applicabile in caso di tariffa corrispettiva? Motivare la risposta.</w:t>
      </w:r>
    </w:p>
    <w:p w14:paraId="46A7BA7C" w14:textId="77777777" w:rsidR="00780860" w:rsidRDefault="00780860" w:rsidP="00780860">
      <w:pPr>
        <w:jc w:val="both"/>
        <w:rPr>
          <w:rFonts w:ascii="Arial" w:hAnsi="Arial" w:cs="Arial"/>
          <w:b/>
          <w:bCs/>
          <w:i/>
          <w:iCs/>
          <w:color w:val="0070C0"/>
          <w:sz w:val="24"/>
          <w:szCs w:val="24"/>
          <w:lang w:val="it-IT"/>
        </w:rPr>
      </w:pPr>
      <w:r>
        <w:rPr>
          <w:rFonts w:ascii="Arial" w:hAnsi="Arial" w:cs="Arial"/>
          <w:b/>
          <w:bCs/>
          <w:i/>
          <w:iCs/>
          <w:color w:val="0070C0"/>
          <w:sz w:val="24"/>
          <w:szCs w:val="24"/>
          <w:lang w:val="it-IT"/>
        </w:rPr>
        <w:t>R: …</w:t>
      </w:r>
    </w:p>
    <w:p w14:paraId="3227D62A" w14:textId="77777777" w:rsidR="00780860" w:rsidRDefault="00780860" w:rsidP="00390366">
      <w:pPr>
        <w:jc w:val="both"/>
        <w:rPr>
          <w:rFonts w:ascii="Arial" w:hAnsi="Arial" w:cs="Arial"/>
          <w:b/>
          <w:bCs/>
          <w:color w:val="0070C0"/>
          <w:sz w:val="24"/>
          <w:szCs w:val="24"/>
          <w:lang w:val="it-IT"/>
        </w:rPr>
      </w:pPr>
    </w:p>
    <w:p w14:paraId="48EE061A" w14:textId="2BA9F4FA" w:rsidR="00A451B1" w:rsidRDefault="00A451B1" w:rsidP="00390366">
      <w:pPr>
        <w:jc w:val="both"/>
        <w:rPr>
          <w:rFonts w:ascii="Arial" w:hAnsi="Arial" w:cs="Arial"/>
          <w:b/>
          <w:bCs/>
          <w:color w:val="0070C0"/>
          <w:sz w:val="24"/>
          <w:szCs w:val="24"/>
          <w:lang w:val="it-IT"/>
        </w:rPr>
      </w:pPr>
      <w:r w:rsidRPr="00A451B1">
        <w:rPr>
          <w:rFonts w:ascii="Arial" w:hAnsi="Arial" w:cs="Arial"/>
          <w:b/>
          <w:bCs/>
          <w:color w:val="0070C0"/>
          <w:sz w:val="24"/>
          <w:szCs w:val="24"/>
          <w:lang w:val="it-IT"/>
        </w:rPr>
        <w:t>Componenti a conguaglio</w:t>
      </w:r>
    </w:p>
    <w:p w14:paraId="11DF48B6" w14:textId="3DF52856" w:rsidR="00780860" w:rsidRDefault="00780860" w:rsidP="00780860">
      <w:pPr>
        <w:jc w:val="both"/>
        <w:rPr>
          <w:rFonts w:ascii="Arial" w:hAnsi="Arial" w:cs="Arial"/>
          <w:b/>
          <w:bCs/>
          <w:i/>
          <w:iCs/>
          <w:sz w:val="24"/>
          <w:szCs w:val="24"/>
          <w:lang w:val="it-IT"/>
        </w:rPr>
      </w:pPr>
      <w:r w:rsidRPr="00A451B1">
        <w:rPr>
          <w:rFonts w:ascii="Arial" w:hAnsi="Arial" w:cs="Arial"/>
          <w:b/>
          <w:bCs/>
          <w:i/>
          <w:iCs/>
          <w:sz w:val="24"/>
          <w:szCs w:val="24"/>
          <w:lang w:val="it-IT"/>
        </w:rPr>
        <w:t xml:space="preserve">Q21. Si condividono gli elementi richiamati in ordine alla composizione delle componenti a conguaglio, </w:t>
      </w:r>
      <w:r w:rsidRPr="00A451B1">
        <w:rPr>
          <w:rFonts w:ascii="Cambria Math" w:hAnsi="Cambria Math" w:cs="Cambria Math"/>
          <w:b/>
          <w:bCs/>
          <w:i/>
          <w:iCs/>
          <w:sz w:val="24"/>
          <w:szCs w:val="24"/>
          <w:lang w:val="it-IT"/>
        </w:rPr>
        <w:t>𝑅𝐶𝑡𝑜𝑡</w:t>
      </w:r>
      <w:r w:rsidRPr="00A451B1">
        <w:rPr>
          <w:rFonts w:ascii="Arial" w:hAnsi="Arial" w:cs="Arial"/>
          <w:b/>
          <w:bCs/>
          <w:i/>
          <w:iCs/>
          <w:sz w:val="24"/>
          <w:szCs w:val="24"/>
          <w:lang w:val="it-IT"/>
        </w:rPr>
        <w:t xml:space="preserve"> </w:t>
      </w:r>
      <w:proofErr w:type="gramStart"/>
      <w:r w:rsidRPr="00A451B1">
        <w:rPr>
          <w:rFonts w:ascii="Cambria Math" w:hAnsi="Cambria Math" w:cs="Cambria Math"/>
          <w:b/>
          <w:bCs/>
          <w:i/>
          <w:iCs/>
          <w:sz w:val="24"/>
          <w:szCs w:val="24"/>
          <w:lang w:val="it-IT"/>
        </w:rPr>
        <w:t>𝑇𝑉</w:t>
      </w:r>
      <w:r w:rsidRPr="00A451B1">
        <w:rPr>
          <w:rFonts w:ascii="Arial" w:hAnsi="Arial" w:cs="Arial"/>
          <w:b/>
          <w:bCs/>
          <w:i/>
          <w:iCs/>
          <w:sz w:val="24"/>
          <w:szCs w:val="24"/>
          <w:lang w:val="it-IT"/>
        </w:rPr>
        <w:t>,</w:t>
      </w:r>
      <w:r w:rsidRPr="00A451B1">
        <w:rPr>
          <w:rFonts w:ascii="Cambria Math" w:hAnsi="Cambria Math" w:cs="Cambria Math"/>
          <w:b/>
          <w:bCs/>
          <w:i/>
          <w:iCs/>
          <w:sz w:val="24"/>
          <w:szCs w:val="24"/>
          <w:lang w:val="it-IT"/>
        </w:rPr>
        <w:t>𝑎</w:t>
      </w:r>
      <w:proofErr w:type="gramEnd"/>
      <w:r w:rsidRPr="00A451B1">
        <w:rPr>
          <w:rFonts w:ascii="Arial" w:hAnsi="Arial" w:cs="Arial"/>
          <w:b/>
          <w:bCs/>
          <w:i/>
          <w:iCs/>
          <w:sz w:val="24"/>
          <w:szCs w:val="24"/>
          <w:lang w:val="it-IT"/>
        </w:rPr>
        <w:t xml:space="preserve"> e </w:t>
      </w:r>
      <w:r w:rsidRPr="00A451B1">
        <w:rPr>
          <w:rFonts w:ascii="Cambria Math" w:hAnsi="Cambria Math" w:cs="Cambria Math"/>
          <w:b/>
          <w:bCs/>
          <w:i/>
          <w:iCs/>
          <w:sz w:val="24"/>
          <w:szCs w:val="24"/>
          <w:lang w:val="it-IT"/>
        </w:rPr>
        <w:t>𝑅𝐶𝑡𝑜𝑡</w:t>
      </w:r>
      <w:r w:rsidRPr="00A451B1">
        <w:rPr>
          <w:rFonts w:ascii="Arial" w:hAnsi="Arial" w:cs="Arial"/>
          <w:b/>
          <w:bCs/>
          <w:i/>
          <w:iCs/>
          <w:sz w:val="24"/>
          <w:szCs w:val="24"/>
          <w:lang w:val="it-IT"/>
        </w:rPr>
        <w:t xml:space="preserve"> </w:t>
      </w:r>
      <w:r w:rsidRPr="00A451B1">
        <w:rPr>
          <w:rFonts w:ascii="Cambria Math" w:hAnsi="Cambria Math" w:cs="Cambria Math"/>
          <w:b/>
          <w:bCs/>
          <w:i/>
          <w:iCs/>
          <w:sz w:val="24"/>
          <w:szCs w:val="24"/>
          <w:lang w:val="it-IT"/>
        </w:rPr>
        <w:t>𝑇𝐹</w:t>
      </w:r>
      <w:r w:rsidRPr="00A451B1">
        <w:rPr>
          <w:rFonts w:ascii="Arial" w:hAnsi="Arial" w:cs="Arial"/>
          <w:b/>
          <w:bCs/>
          <w:i/>
          <w:iCs/>
          <w:sz w:val="24"/>
          <w:szCs w:val="24"/>
          <w:lang w:val="it-IT"/>
        </w:rPr>
        <w:t>,</w:t>
      </w:r>
      <w:r w:rsidRPr="00A451B1">
        <w:rPr>
          <w:rFonts w:ascii="Cambria Math" w:hAnsi="Cambria Math" w:cs="Cambria Math"/>
          <w:b/>
          <w:bCs/>
          <w:i/>
          <w:iCs/>
          <w:sz w:val="24"/>
          <w:szCs w:val="24"/>
          <w:lang w:val="it-IT"/>
        </w:rPr>
        <w:t>𝑎</w:t>
      </w:r>
      <w:r w:rsidRPr="00A451B1">
        <w:rPr>
          <w:rFonts w:ascii="Arial" w:hAnsi="Arial" w:cs="Arial"/>
          <w:b/>
          <w:bCs/>
          <w:i/>
          <w:iCs/>
          <w:sz w:val="24"/>
          <w:szCs w:val="24"/>
          <w:lang w:val="it-IT"/>
        </w:rPr>
        <w:t xml:space="preserve"> ? Motivare la risposta. </w:t>
      </w:r>
    </w:p>
    <w:p w14:paraId="3D4FDDB4" w14:textId="77777777" w:rsidR="00780860" w:rsidRDefault="00780860" w:rsidP="00780860">
      <w:pPr>
        <w:jc w:val="both"/>
        <w:rPr>
          <w:rFonts w:ascii="Arial" w:hAnsi="Arial" w:cs="Arial"/>
          <w:b/>
          <w:bCs/>
          <w:i/>
          <w:iCs/>
          <w:color w:val="0070C0"/>
          <w:sz w:val="24"/>
          <w:szCs w:val="24"/>
          <w:lang w:val="it-IT"/>
        </w:rPr>
      </w:pPr>
      <w:r>
        <w:rPr>
          <w:rFonts w:ascii="Arial" w:hAnsi="Arial" w:cs="Arial"/>
          <w:b/>
          <w:bCs/>
          <w:i/>
          <w:iCs/>
          <w:color w:val="0070C0"/>
          <w:sz w:val="24"/>
          <w:szCs w:val="24"/>
          <w:lang w:val="it-IT"/>
        </w:rPr>
        <w:t>R: …</w:t>
      </w:r>
    </w:p>
    <w:p w14:paraId="71C89058" w14:textId="77777777" w:rsidR="00780860" w:rsidRDefault="00780860" w:rsidP="00780860">
      <w:pPr>
        <w:jc w:val="both"/>
        <w:rPr>
          <w:rFonts w:ascii="Arial" w:hAnsi="Arial" w:cs="Arial"/>
          <w:b/>
          <w:bCs/>
          <w:i/>
          <w:iCs/>
          <w:sz w:val="24"/>
          <w:szCs w:val="24"/>
          <w:lang w:val="it-IT"/>
        </w:rPr>
      </w:pPr>
      <w:r w:rsidRPr="00A451B1">
        <w:rPr>
          <w:rFonts w:ascii="Arial" w:hAnsi="Arial" w:cs="Arial"/>
          <w:b/>
          <w:bCs/>
          <w:i/>
          <w:iCs/>
          <w:sz w:val="24"/>
          <w:szCs w:val="24"/>
          <w:lang w:val="it-IT"/>
        </w:rPr>
        <w:lastRenderedPageBreak/>
        <w:t xml:space="preserve">Q22. In particolare, si condivide l’orientamento di ricomprendere tra le componenti </w:t>
      </w:r>
      <w:r w:rsidRPr="00A451B1">
        <w:rPr>
          <w:rFonts w:ascii="Cambria Math" w:hAnsi="Cambria Math" w:cs="Cambria Math"/>
          <w:b/>
          <w:bCs/>
          <w:i/>
          <w:iCs/>
          <w:sz w:val="24"/>
          <w:szCs w:val="24"/>
          <w:lang w:val="it-IT"/>
        </w:rPr>
        <w:t>𝑅𝐶𝑡𝑜𝑡</w:t>
      </w:r>
      <w:r w:rsidRPr="00A451B1">
        <w:rPr>
          <w:rFonts w:ascii="Arial" w:hAnsi="Arial" w:cs="Arial"/>
          <w:b/>
          <w:bCs/>
          <w:i/>
          <w:iCs/>
          <w:sz w:val="24"/>
          <w:szCs w:val="24"/>
          <w:lang w:val="it-IT"/>
        </w:rPr>
        <w:t xml:space="preserve"> </w:t>
      </w:r>
      <w:proofErr w:type="gramStart"/>
      <w:r w:rsidRPr="00A451B1">
        <w:rPr>
          <w:rFonts w:ascii="Cambria Math" w:hAnsi="Cambria Math" w:cs="Cambria Math"/>
          <w:b/>
          <w:bCs/>
          <w:i/>
          <w:iCs/>
          <w:sz w:val="24"/>
          <w:szCs w:val="24"/>
          <w:lang w:val="it-IT"/>
        </w:rPr>
        <w:t>𝑇𝑉</w:t>
      </w:r>
      <w:r w:rsidRPr="00A451B1">
        <w:rPr>
          <w:rFonts w:ascii="Arial" w:hAnsi="Arial" w:cs="Arial"/>
          <w:b/>
          <w:bCs/>
          <w:i/>
          <w:iCs/>
          <w:sz w:val="24"/>
          <w:szCs w:val="24"/>
          <w:lang w:val="it-IT"/>
        </w:rPr>
        <w:t>,</w:t>
      </w:r>
      <w:r w:rsidRPr="00A451B1">
        <w:rPr>
          <w:rFonts w:ascii="Cambria Math" w:hAnsi="Cambria Math" w:cs="Cambria Math"/>
          <w:b/>
          <w:bCs/>
          <w:i/>
          <w:iCs/>
          <w:sz w:val="24"/>
          <w:szCs w:val="24"/>
          <w:lang w:val="it-IT"/>
        </w:rPr>
        <w:t>𝑎</w:t>
      </w:r>
      <w:proofErr w:type="gramEnd"/>
      <w:r w:rsidRPr="00A451B1">
        <w:rPr>
          <w:rFonts w:ascii="Arial" w:hAnsi="Arial" w:cs="Arial"/>
          <w:b/>
          <w:bCs/>
          <w:i/>
          <w:iCs/>
          <w:sz w:val="24"/>
          <w:szCs w:val="24"/>
          <w:lang w:val="it-IT"/>
        </w:rPr>
        <w:t xml:space="preserve"> e </w:t>
      </w:r>
      <w:r w:rsidRPr="00A451B1">
        <w:rPr>
          <w:rFonts w:ascii="Cambria Math" w:hAnsi="Cambria Math" w:cs="Cambria Math"/>
          <w:b/>
          <w:bCs/>
          <w:i/>
          <w:iCs/>
          <w:sz w:val="24"/>
          <w:szCs w:val="24"/>
          <w:lang w:val="it-IT"/>
        </w:rPr>
        <w:t>𝑅𝐶𝑡𝑜𝑡</w:t>
      </w:r>
      <w:r w:rsidRPr="00A451B1">
        <w:rPr>
          <w:rFonts w:ascii="Arial" w:hAnsi="Arial" w:cs="Arial"/>
          <w:b/>
          <w:bCs/>
          <w:i/>
          <w:iCs/>
          <w:sz w:val="24"/>
          <w:szCs w:val="24"/>
          <w:lang w:val="it-IT"/>
        </w:rPr>
        <w:t xml:space="preserve"> </w:t>
      </w:r>
      <w:r w:rsidRPr="00A451B1">
        <w:rPr>
          <w:rFonts w:ascii="Cambria Math" w:hAnsi="Cambria Math" w:cs="Cambria Math"/>
          <w:b/>
          <w:bCs/>
          <w:i/>
          <w:iCs/>
          <w:sz w:val="24"/>
          <w:szCs w:val="24"/>
          <w:lang w:val="it-IT"/>
        </w:rPr>
        <w:t>𝑇𝐹</w:t>
      </w:r>
      <w:r w:rsidRPr="00A451B1">
        <w:rPr>
          <w:rFonts w:ascii="Arial" w:hAnsi="Arial" w:cs="Arial"/>
          <w:b/>
          <w:bCs/>
          <w:i/>
          <w:iCs/>
          <w:sz w:val="24"/>
          <w:szCs w:val="24"/>
          <w:lang w:val="it-IT"/>
        </w:rPr>
        <w:t>,</w:t>
      </w:r>
      <w:r w:rsidRPr="00A451B1">
        <w:rPr>
          <w:rFonts w:ascii="Cambria Math" w:hAnsi="Cambria Math" w:cs="Cambria Math"/>
          <w:b/>
          <w:bCs/>
          <w:i/>
          <w:iCs/>
          <w:sz w:val="24"/>
          <w:szCs w:val="24"/>
          <w:lang w:val="it-IT"/>
        </w:rPr>
        <w:t>𝑎</w:t>
      </w:r>
      <w:r w:rsidRPr="00A451B1">
        <w:rPr>
          <w:rFonts w:ascii="Arial" w:hAnsi="Arial" w:cs="Arial"/>
          <w:b/>
          <w:bCs/>
          <w:i/>
          <w:iCs/>
          <w:sz w:val="24"/>
          <w:szCs w:val="24"/>
          <w:lang w:val="it-IT"/>
        </w:rPr>
        <w:t xml:space="preserve"> anche le voci per il recupero dello scostamento tra le entrate tariffarie (variabili e fisse) approvate per l’anno (a-2) e quanto fatturato con riferimento alla medesima annualità? Motivare la risposta.</w:t>
      </w:r>
    </w:p>
    <w:p w14:paraId="3BF91111" w14:textId="77777777" w:rsidR="00780860" w:rsidRDefault="00780860" w:rsidP="00780860">
      <w:pPr>
        <w:jc w:val="both"/>
        <w:rPr>
          <w:rFonts w:ascii="Arial" w:hAnsi="Arial" w:cs="Arial"/>
          <w:b/>
          <w:bCs/>
          <w:i/>
          <w:iCs/>
          <w:color w:val="0070C0"/>
          <w:sz w:val="24"/>
          <w:szCs w:val="24"/>
          <w:lang w:val="it-IT"/>
        </w:rPr>
      </w:pPr>
      <w:r>
        <w:rPr>
          <w:rFonts w:ascii="Arial" w:hAnsi="Arial" w:cs="Arial"/>
          <w:b/>
          <w:bCs/>
          <w:i/>
          <w:iCs/>
          <w:color w:val="0070C0"/>
          <w:sz w:val="24"/>
          <w:szCs w:val="24"/>
          <w:lang w:val="it-IT"/>
        </w:rPr>
        <w:t>R: …</w:t>
      </w:r>
    </w:p>
    <w:p w14:paraId="407A14E4" w14:textId="77777777" w:rsidR="00780860" w:rsidRPr="00A451B1" w:rsidRDefault="00780860" w:rsidP="00390366">
      <w:pPr>
        <w:jc w:val="both"/>
        <w:rPr>
          <w:rFonts w:ascii="Arial" w:hAnsi="Arial" w:cs="Arial"/>
          <w:b/>
          <w:bCs/>
          <w:color w:val="0070C0"/>
          <w:sz w:val="24"/>
          <w:szCs w:val="24"/>
          <w:lang w:val="it-IT"/>
        </w:rPr>
      </w:pPr>
    </w:p>
    <w:p w14:paraId="7EA7EB60" w14:textId="74E3AE76" w:rsidR="00A451B1" w:rsidRPr="00A451B1" w:rsidRDefault="00A451B1" w:rsidP="00D27403">
      <w:pPr>
        <w:jc w:val="both"/>
        <w:rPr>
          <w:rFonts w:ascii="Arial" w:hAnsi="Arial" w:cs="Arial"/>
          <w:b/>
          <w:bCs/>
          <w:color w:val="0070C0"/>
          <w:sz w:val="24"/>
          <w:szCs w:val="24"/>
          <w:lang w:val="it-IT"/>
        </w:rPr>
      </w:pPr>
      <w:r w:rsidRPr="00A451B1">
        <w:rPr>
          <w:rFonts w:ascii="Arial" w:hAnsi="Arial" w:cs="Arial"/>
          <w:b/>
          <w:bCs/>
          <w:color w:val="0070C0"/>
          <w:sz w:val="24"/>
          <w:szCs w:val="24"/>
          <w:lang w:val="it-IT"/>
        </w:rPr>
        <w:t>Tariffe di accesso agli impianti di trattamento</w:t>
      </w:r>
    </w:p>
    <w:p w14:paraId="5C0569DE" w14:textId="77777777" w:rsidR="00780860" w:rsidRDefault="00780860" w:rsidP="00780860">
      <w:pPr>
        <w:jc w:val="both"/>
        <w:rPr>
          <w:rFonts w:ascii="Arial" w:hAnsi="Arial" w:cs="Arial"/>
          <w:b/>
          <w:bCs/>
          <w:i/>
          <w:iCs/>
          <w:sz w:val="24"/>
          <w:szCs w:val="24"/>
          <w:lang w:val="it-IT"/>
        </w:rPr>
      </w:pPr>
      <w:r w:rsidRPr="00A451B1">
        <w:rPr>
          <w:rFonts w:ascii="Arial" w:hAnsi="Arial" w:cs="Arial"/>
          <w:b/>
          <w:bCs/>
          <w:i/>
          <w:iCs/>
          <w:sz w:val="24"/>
          <w:szCs w:val="24"/>
          <w:lang w:val="it-IT"/>
        </w:rPr>
        <w:t>Q23. Tenuto conto dell’orientamento dell’Autorità di confermare l’impostazione generale illustrata nel documento 196/2021/R/RIF con riferimento alla determinazione delle tariffe di accesso agli impianti di trattamento, si condividono gli elementi illustrati ai fini dell’individuazione del “Gestore integrato”? Quali ulteriori aspetti si ritiene utile segnalare? Motivare la risposta.</w:t>
      </w:r>
    </w:p>
    <w:p w14:paraId="5D108860" w14:textId="77777777" w:rsidR="00780860" w:rsidRDefault="00780860" w:rsidP="00780860">
      <w:pPr>
        <w:jc w:val="both"/>
        <w:rPr>
          <w:rFonts w:ascii="Arial" w:hAnsi="Arial" w:cs="Arial"/>
          <w:b/>
          <w:bCs/>
          <w:i/>
          <w:iCs/>
          <w:color w:val="0070C0"/>
          <w:sz w:val="24"/>
          <w:szCs w:val="24"/>
          <w:lang w:val="it-IT"/>
        </w:rPr>
      </w:pPr>
      <w:r>
        <w:rPr>
          <w:rFonts w:ascii="Arial" w:hAnsi="Arial" w:cs="Arial"/>
          <w:b/>
          <w:bCs/>
          <w:i/>
          <w:iCs/>
          <w:color w:val="0070C0"/>
          <w:sz w:val="24"/>
          <w:szCs w:val="24"/>
          <w:lang w:val="it-IT"/>
        </w:rPr>
        <w:t>R: …</w:t>
      </w:r>
    </w:p>
    <w:p w14:paraId="0871E31E" w14:textId="2F4640AF" w:rsidR="00D27403" w:rsidRDefault="00D27403" w:rsidP="00D27403">
      <w:pPr>
        <w:jc w:val="both"/>
        <w:rPr>
          <w:rFonts w:ascii="Arial" w:hAnsi="Arial" w:cs="Arial"/>
          <w:b/>
          <w:bCs/>
          <w:i/>
          <w:iCs/>
          <w:sz w:val="24"/>
          <w:szCs w:val="24"/>
          <w:lang w:val="it-IT"/>
        </w:rPr>
      </w:pPr>
    </w:p>
    <w:p w14:paraId="352C3E49" w14:textId="286EC082" w:rsidR="00A451B1" w:rsidRPr="00A451B1" w:rsidRDefault="00A451B1" w:rsidP="00D27403">
      <w:pPr>
        <w:jc w:val="both"/>
        <w:rPr>
          <w:rFonts w:ascii="Arial" w:hAnsi="Arial" w:cs="Arial"/>
          <w:b/>
          <w:bCs/>
          <w:color w:val="0070C0"/>
          <w:sz w:val="24"/>
          <w:szCs w:val="24"/>
          <w:lang w:val="it-IT"/>
        </w:rPr>
      </w:pPr>
      <w:r w:rsidRPr="00A451B1">
        <w:rPr>
          <w:rFonts w:ascii="Arial" w:hAnsi="Arial" w:cs="Arial"/>
          <w:b/>
          <w:bCs/>
          <w:color w:val="0070C0"/>
          <w:sz w:val="24"/>
          <w:szCs w:val="24"/>
          <w:lang w:val="it-IT"/>
        </w:rPr>
        <w:t>Individuazione degli impianti di chiusura del ciclo “minimi”</w:t>
      </w:r>
    </w:p>
    <w:p w14:paraId="23BCA7EF" w14:textId="28A664C9" w:rsidR="00A451B1" w:rsidRDefault="00780860" w:rsidP="00D27403">
      <w:pPr>
        <w:jc w:val="both"/>
        <w:rPr>
          <w:rFonts w:ascii="Arial" w:hAnsi="Arial" w:cs="Arial"/>
          <w:b/>
          <w:bCs/>
          <w:i/>
          <w:iCs/>
          <w:sz w:val="24"/>
          <w:szCs w:val="24"/>
          <w:lang w:val="it-IT"/>
        </w:rPr>
      </w:pPr>
      <w:r w:rsidRPr="00A451B1">
        <w:rPr>
          <w:rFonts w:ascii="Arial" w:hAnsi="Arial" w:cs="Arial"/>
          <w:b/>
          <w:bCs/>
          <w:i/>
          <w:iCs/>
          <w:sz w:val="24"/>
          <w:szCs w:val="24"/>
          <w:lang w:val="it-IT"/>
        </w:rPr>
        <w:t>Q24. Si condividono gli orientamenti prospettati con riferimento all’individuazione degli impianti di chiusura del ciclo “minimi” nel caso in cui le tempistiche di adozione di iniziative governative in tal senso non fossero compatibili con quelle richieste per il varo degli atti necessari alle determinazioni tariffarie? In particolare, si condivide l’intenzione di prevedere – in fase di prima attivazione e nelle more della definizione di un appropriato intervento di livello governativo – un coinvolgimento attivo delle Regioni? Motivare la risposta</w:t>
      </w:r>
      <w:r>
        <w:rPr>
          <w:rFonts w:ascii="Arial" w:hAnsi="Arial" w:cs="Arial"/>
          <w:b/>
          <w:bCs/>
          <w:i/>
          <w:iCs/>
          <w:sz w:val="24"/>
          <w:szCs w:val="24"/>
          <w:lang w:val="it-IT"/>
        </w:rPr>
        <w:t>.</w:t>
      </w:r>
    </w:p>
    <w:p w14:paraId="5E4CA47D" w14:textId="77777777" w:rsidR="00780860" w:rsidRDefault="00780860" w:rsidP="00780860">
      <w:pPr>
        <w:jc w:val="both"/>
        <w:rPr>
          <w:rFonts w:ascii="Arial" w:hAnsi="Arial" w:cs="Arial"/>
          <w:b/>
          <w:bCs/>
          <w:i/>
          <w:iCs/>
          <w:color w:val="0070C0"/>
          <w:sz w:val="24"/>
          <w:szCs w:val="24"/>
          <w:lang w:val="it-IT"/>
        </w:rPr>
      </w:pPr>
      <w:r>
        <w:rPr>
          <w:rFonts w:ascii="Arial" w:hAnsi="Arial" w:cs="Arial"/>
          <w:b/>
          <w:bCs/>
          <w:i/>
          <w:iCs/>
          <w:color w:val="0070C0"/>
          <w:sz w:val="24"/>
          <w:szCs w:val="24"/>
          <w:lang w:val="it-IT"/>
        </w:rPr>
        <w:t>R: …</w:t>
      </w:r>
    </w:p>
    <w:p w14:paraId="48EAB357" w14:textId="77777777" w:rsidR="00780860" w:rsidRDefault="00780860" w:rsidP="00780860">
      <w:pPr>
        <w:jc w:val="both"/>
        <w:rPr>
          <w:rFonts w:ascii="Arial" w:hAnsi="Arial" w:cs="Arial"/>
          <w:b/>
          <w:bCs/>
          <w:i/>
          <w:iCs/>
          <w:sz w:val="24"/>
          <w:szCs w:val="24"/>
          <w:lang w:val="it-IT"/>
        </w:rPr>
      </w:pPr>
      <w:r w:rsidRPr="00A451B1">
        <w:rPr>
          <w:rFonts w:ascii="Arial" w:hAnsi="Arial" w:cs="Arial"/>
          <w:b/>
          <w:bCs/>
          <w:i/>
          <w:iCs/>
          <w:sz w:val="24"/>
          <w:szCs w:val="24"/>
          <w:lang w:val="it-IT"/>
        </w:rPr>
        <w:t>Q25. Si condivide l’orientamento di prevedere che sia la Regione medesima a distinguere i flussi trattati in ciascun impianto “minimo” secondo un criterio di prossimità dalla stessa individuato? Motivare la risposta.</w:t>
      </w:r>
    </w:p>
    <w:p w14:paraId="3D4F328A" w14:textId="77777777" w:rsidR="00780860" w:rsidRDefault="00780860" w:rsidP="00780860">
      <w:pPr>
        <w:jc w:val="both"/>
        <w:rPr>
          <w:rFonts w:ascii="Arial" w:hAnsi="Arial" w:cs="Arial"/>
          <w:b/>
          <w:bCs/>
          <w:i/>
          <w:iCs/>
          <w:color w:val="0070C0"/>
          <w:sz w:val="24"/>
          <w:szCs w:val="24"/>
          <w:lang w:val="it-IT"/>
        </w:rPr>
      </w:pPr>
      <w:r>
        <w:rPr>
          <w:rFonts w:ascii="Arial" w:hAnsi="Arial" w:cs="Arial"/>
          <w:b/>
          <w:bCs/>
          <w:i/>
          <w:iCs/>
          <w:color w:val="0070C0"/>
          <w:sz w:val="24"/>
          <w:szCs w:val="24"/>
          <w:lang w:val="it-IT"/>
        </w:rPr>
        <w:t>R: …</w:t>
      </w:r>
    </w:p>
    <w:p w14:paraId="12754BF6" w14:textId="77777777" w:rsidR="00780860" w:rsidRDefault="00780860" w:rsidP="00D27403">
      <w:pPr>
        <w:jc w:val="both"/>
        <w:rPr>
          <w:rFonts w:ascii="Arial" w:hAnsi="Arial" w:cs="Arial"/>
          <w:b/>
          <w:bCs/>
          <w:i/>
          <w:iCs/>
          <w:sz w:val="24"/>
          <w:szCs w:val="24"/>
          <w:lang w:val="it-IT"/>
        </w:rPr>
      </w:pPr>
    </w:p>
    <w:p w14:paraId="77C230E2" w14:textId="21538DA2" w:rsidR="00A451B1" w:rsidRPr="00A451B1" w:rsidRDefault="00A451B1" w:rsidP="00390366">
      <w:pPr>
        <w:jc w:val="both"/>
        <w:rPr>
          <w:rFonts w:ascii="Arial" w:hAnsi="Arial" w:cs="Arial"/>
          <w:b/>
          <w:bCs/>
          <w:color w:val="0070C0"/>
          <w:sz w:val="24"/>
          <w:szCs w:val="24"/>
          <w:lang w:val="it-IT"/>
        </w:rPr>
      </w:pPr>
      <w:r w:rsidRPr="00A451B1">
        <w:rPr>
          <w:rFonts w:ascii="Arial" w:hAnsi="Arial" w:cs="Arial"/>
          <w:b/>
          <w:bCs/>
          <w:i/>
          <w:iCs/>
          <w:color w:val="0070C0"/>
          <w:sz w:val="24"/>
          <w:szCs w:val="24"/>
          <w:lang w:val="it-IT"/>
        </w:rPr>
        <w:t>Determinazione delle tariffe di accesso agli impianti di trattamento</w:t>
      </w:r>
    </w:p>
    <w:p w14:paraId="4C89451A" w14:textId="77777777" w:rsidR="00780860" w:rsidRDefault="00780860" w:rsidP="00780860">
      <w:pPr>
        <w:jc w:val="both"/>
        <w:rPr>
          <w:rFonts w:ascii="Arial" w:hAnsi="Arial" w:cs="Arial"/>
          <w:b/>
          <w:bCs/>
          <w:i/>
          <w:iCs/>
          <w:sz w:val="24"/>
          <w:szCs w:val="24"/>
          <w:lang w:val="it-IT"/>
        </w:rPr>
      </w:pPr>
      <w:r w:rsidRPr="00A451B1">
        <w:rPr>
          <w:rFonts w:ascii="Arial" w:hAnsi="Arial" w:cs="Arial"/>
          <w:b/>
          <w:bCs/>
          <w:i/>
          <w:iCs/>
          <w:sz w:val="24"/>
          <w:szCs w:val="24"/>
          <w:lang w:val="it-IT"/>
        </w:rPr>
        <w:t>Q26. Si condivide l’orientamento prospettato con riferimento alla determinazione delle tariffe di accesso agli impianti di chiusura del ciclo “minimi”? Motivare la risposta.</w:t>
      </w:r>
    </w:p>
    <w:p w14:paraId="2252BDE3" w14:textId="77777777" w:rsidR="00780860" w:rsidRDefault="00780860" w:rsidP="00780860">
      <w:pPr>
        <w:jc w:val="both"/>
        <w:rPr>
          <w:rFonts w:ascii="Arial" w:hAnsi="Arial" w:cs="Arial"/>
          <w:b/>
          <w:bCs/>
          <w:i/>
          <w:iCs/>
          <w:color w:val="0070C0"/>
          <w:sz w:val="24"/>
          <w:szCs w:val="24"/>
          <w:lang w:val="it-IT"/>
        </w:rPr>
      </w:pPr>
      <w:r>
        <w:rPr>
          <w:rFonts w:ascii="Arial" w:hAnsi="Arial" w:cs="Arial"/>
          <w:b/>
          <w:bCs/>
          <w:i/>
          <w:iCs/>
          <w:color w:val="0070C0"/>
          <w:sz w:val="24"/>
          <w:szCs w:val="24"/>
          <w:lang w:val="it-IT"/>
        </w:rPr>
        <w:t>R: …</w:t>
      </w:r>
    </w:p>
    <w:p w14:paraId="7373CB90" w14:textId="77777777" w:rsidR="00780860" w:rsidRDefault="00780860" w:rsidP="00780860">
      <w:pPr>
        <w:jc w:val="both"/>
        <w:rPr>
          <w:rFonts w:ascii="Arial" w:hAnsi="Arial" w:cs="Arial"/>
          <w:b/>
          <w:bCs/>
          <w:i/>
          <w:iCs/>
          <w:sz w:val="24"/>
          <w:szCs w:val="24"/>
          <w:lang w:val="it-IT"/>
        </w:rPr>
      </w:pPr>
      <w:r w:rsidRPr="00A451B1">
        <w:rPr>
          <w:rFonts w:ascii="Arial" w:hAnsi="Arial" w:cs="Arial"/>
          <w:b/>
          <w:bCs/>
          <w:i/>
          <w:iCs/>
          <w:sz w:val="24"/>
          <w:szCs w:val="24"/>
          <w:lang w:val="it-IT"/>
        </w:rPr>
        <w:t xml:space="preserve">Q27. Si condivide la prospettata introduzione di un limite di crescita annuale del fattore tariffario </w:t>
      </w:r>
      <w:r w:rsidRPr="00A451B1">
        <w:rPr>
          <w:rFonts w:ascii="Cambria Math" w:hAnsi="Cambria Math" w:cs="Cambria Math"/>
          <w:b/>
          <w:bCs/>
          <w:i/>
          <w:iCs/>
          <w:sz w:val="24"/>
          <w:szCs w:val="24"/>
          <w:lang w:val="it-IT"/>
        </w:rPr>
        <w:t>𝜏𝑎</w:t>
      </w:r>
      <w:r w:rsidRPr="00A451B1">
        <w:rPr>
          <w:rFonts w:ascii="Arial" w:hAnsi="Arial" w:cs="Arial"/>
          <w:b/>
          <w:bCs/>
          <w:i/>
          <w:iCs/>
          <w:sz w:val="24"/>
          <w:szCs w:val="24"/>
          <w:lang w:val="it-IT"/>
        </w:rPr>
        <w:t xml:space="preserve">, nonché le modalità illustrate al fine di tenere conto delle valutazioni relative alla prossimità dei flussi? Motivare la risposta. </w:t>
      </w:r>
    </w:p>
    <w:p w14:paraId="06620286" w14:textId="77777777" w:rsidR="00761CF8" w:rsidRDefault="00761CF8" w:rsidP="00761CF8">
      <w:pPr>
        <w:jc w:val="both"/>
        <w:rPr>
          <w:rFonts w:ascii="Arial" w:hAnsi="Arial" w:cs="Arial"/>
          <w:b/>
          <w:bCs/>
          <w:i/>
          <w:iCs/>
          <w:color w:val="0070C0"/>
          <w:sz w:val="24"/>
          <w:szCs w:val="24"/>
          <w:lang w:val="it-IT"/>
        </w:rPr>
      </w:pPr>
      <w:r>
        <w:rPr>
          <w:rFonts w:ascii="Arial" w:hAnsi="Arial" w:cs="Arial"/>
          <w:b/>
          <w:bCs/>
          <w:i/>
          <w:iCs/>
          <w:color w:val="0070C0"/>
          <w:sz w:val="24"/>
          <w:szCs w:val="24"/>
          <w:lang w:val="it-IT"/>
        </w:rPr>
        <w:lastRenderedPageBreak/>
        <w:t>R: …</w:t>
      </w:r>
    </w:p>
    <w:p w14:paraId="6968270F" w14:textId="77777777" w:rsidR="00780860" w:rsidRDefault="00780860" w:rsidP="00780860">
      <w:pPr>
        <w:jc w:val="both"/>
        <w:rPr>
          <w:rFonts w:ascii="Arial" w:hAnsi="Arial" w:cs="Arial"/>
          <w:b/>
          <w:bCs/>
          <w:i/>
          <w:iCs/>
          <w:sz w:val="24"/>
          <w:szCs w:val="24"/>
          <w:lang w:val="it-IT"/>
        </w:rPr>
      </w:pPr>
      <w:r w:rsidRPr="00A451B1">
        <w:rPr>
          <w:rFonts w:ascii="Arial" w:hAnsi="Arial" w:cs="Arial"/>
          <w:b/>
          <w:bCs/>
          <w:i/>
          <w:iCs/>
          <w:sz w:val="24"/>
          <w:szCs w:val="24"/>
          <w:lang w:val="it-IT"/>
        </w:rPr>
        <w:t>Q28. Si ritiene congruo il termine del 30 aprile 2022 per la trasmissione all’Autorità del piano economico finanziario riferito all’impianto di chiusura del ciclo “minimo”? Motivare la risposta.</w:t>
      </w:r>
    </w:p>
    <w:p w14:paraId="79077C02" w14:textId="77777777" w:rsidR="00761CF8" w:rsidRDefault="00761CF8" w:rsidP="00761CF8">
      <w:pPr>
        <w:jc w:val="both"/>
        <w:rPr>
          <w:rFonts w:ascii="Arial" w:hAnsi="Arial" w:cs="Arial"/>
          <w:b/>
          <w:bCs/>
          <w:i/>
          <w:iCs/>
          <w:color w:val="0070C0"/>
          <w:sz w:val="24"/>
          <w:szCs w:val="24"/>
          <w:lang w:val="it-IT"/>
        </w:rPr>
      </w:pPr>
      <w:r>
        <w:rPr>
          <w:rFonts w:ascii="Arial" w:hAnsi="Arial" w:cs="Arial"/>
          <w:b/>
          <w:bCs/>
          <w:i/>
          <w:iCs/>
          <w:color w:val="0070C0"/>
          <w:sz w:val="24"/>
          <w:szCs w:val="24"/>
          <w:lang w:val="it-IT"/>
        </w:rPr>
        <w:t>R: …</w:t>
      </w:r>
    </w:p>
    <w:p w14:paraId="241EDFDF" w14:textId="2F2D54CF" w:rsidR="00780860" w:rsidRDefault="00780860" w:rsidP="00780860">
      <w:pPr>
        <w:jc w:val="both"/>
        <w:rPr>
          <w:rFonts w:ascii="Arial" w:hAnsi="Arial" w:cs="Arial"/>
          <w:b/>
          <w:bCs/>
          <w:i/>
          <w:iCs/>
          <w:sz w:val="24"/>
          <w:szCs w:val="24"/>
          <w:lang w:val="it-IT"/>
        </w:rPr>
      </w:pPr>
      <w:r w:rsidRPr="00A451B1">
        <w:rPr>
          <w:rFonts w:ascii="Arial" w:hAnsi="Arial" w:cs="Arial"/>
          <w:b/>
          <w:bCs/>
          <w:i/>
          <w:iCs/>
          <w:sz w:val="24"/>
          <w:szCs w:val="24"/>
          <w:lang w:val="it-IT"/>
        </w:rPr>
        <w:t xml:space="preserve">Q29. Oltre al prospettato collegamento tra applicazione della componente </w:t>
      </w:r>
      <w:r w:rsidRPr="00A451B1">
        <w:rPr>
          <w:rFonts w:ascii="Cambria Math" w:hAnsi="Cambria Math" w:cs="Cambria Math"/>
          <w:b/>
          <w:bCs/>
          <w:i/>
          <w:iCs/>
          <w:sz w:val="24"/>
          <w:szCs w:val="24"/>
          <w:lang w:val="it-IT"/>
        </w:rPr>
        <w:t>𝐶𝑖𝑛𝑐</w:t>
      </w:r>
      <w:r w:rsidRPr="00A451B1">
        <w:rPr>
          <w:rFonts w:ascii="Arial" w:hAnsi="Arial" w:cs="Arial"/>
          <w:b/>
          <w:bCs/>
          <w:i/>
          <w:iCs/>
          <w:sz w:val="24"/>
          <w:szCs w:val="24"/>
          <w:lang w:val="it-IT"/>
        </w:rPr>
        <w:t xml:space="preserve"> e trasferimento di benefici a vantaggio dei fruitori del servizio maggiormente attivi nelle filiere della raccolta differenziata e del recupero di materia, quali ulteriori elementi si ritiene di poter valutare al fine di rafforzare gli incentivi ambientali rivolti all’utenza finale? Motivare la risposta. </w:t>
      </w:r>
    </w:p>
    <w:p w14:paraId="791B5B3E" w14:textId="77777777" w:rsidR="00761CF8" w:rsidRDefault="00761CF8" w:rsidP="00761CF8">
      <w:pPr>
        <w:jc w:val="both"/>
        <w:rPr>
          <w:rFonts w:ascii="Arial" w:hAnsi="Arial" w:cs="Arial"/>
          <w:b/>
          <w:bCs/>
          <w:i/>
          <w:iCs/>
          <w:color w:val="0070C0"/>
          <w:sz w:val="24"/>
          <w:szCs w:val="24"/>
          <w:lang w:val="it-IT"/>
        </w:rPr>
      </w:pPr>
      <w:r>
        <w:rPr>
          <w:rFonts w:ascii="Arial" w:hAnsi="Arial" w:cs="Arial"/>
          <w:b/>
          <w:bCs/>
          <w:i/>
          <w:iCs/>
          <w:color w:val="0070C0"/>
          <w:sz w:val="24"/>
          <w:szCs w:val="24"/>
          <w:lang w:val="it-IT"/>
        </w:rPr>
        <w:t>R: …</w:t>
      </w:r>
    </w:p>
    <w:p w14:paraId="2BFC7FFC" w14:textId="10C6A39E" w:rsidR="00780860" w:rsidRDefault="00780860" w:rsidP="00780860">
      <w:pPr>
        <w:jc w:val="both"/>
        <w:rPr>
          <w:rFonts w:ascii="Arial" w:hAnsi="Arial" w:cs="Arial"/>
          <w:b/>
          <w:bCs/>
          <w:i/>
          <w:iCs/>
          <w:sz w:val="24"/>
          <w:szCs w:val="24"/>
          <w:lang w:val="it-IT"/>
        </w:rPr>
      </w:pPr>
      <w:r w:rsidRPr="00A451B1">
        <w:rPr>
          <w:rFonts w:ascii="Arial" w:hAnsi="Arial" w:cs="Arial"/>
          <w:b/>
          <w:bCs/>
          <w:i/>
          <w:iCs/>
          <w:sz w:val="24"/>
          <w:szCs w:val="24"/>
          <w:lang w:val="it-IT"/>
        </w:rPr>
        <w:t>Q30. Si condivide l’orientamento di dare separata evidenza nei documenti di fatturazione, ovvero negli avvisi di pagamento, delle componenti perequative ambientali (non</w:t>
      </w:r>
      <w:r>
        <w:rPr>
          <w:rFonts w:ascii="Arial" w:hAnsi="Arial" w:cs="Arial"/>
          <w:b/>
          <w:bCs/>
          <w:i/>
          <w:iCs/>
          <w:sz w:val="24"/>
          <w:szCs w:val="24"/>
          <w:lang w:val="it-IT"/>
        </w:rPr>
        <w:t xml:space="preserve"> </w:t>
      </w:r>
      <w:r w:rsidRPr="00A451B1">
        <w:rPr>
          <w:rFonts w:ascii="Arial" w:hAnsi="Arial" w:cs="Arial"/>
          <w:b/>
          <w:bCs/>
          <w:i/>
          <w:iCs/>
          <w:sz w:val="24"/>
          <w:szCs w:val="24"/>
          <w:lang w:val="it-IT"/>
        </w:rPr>
        <w:t>rientrando le medesime nel computo dei costi ammessi a riconoscimento tariffario)? Motivare la risposta.</w:t>
      </w:r>
    </w:p>
    <w:p w14:paraId="6E4EAD3E" w14:textId="77777777" w:rsidR="00761CF8" w:rsidRDefault="00761CF8" w:rsidP="00761CF8">
      <w:pPr>
        <w:jc w:val="both"/>
        <w:rPr>
          <w:rFonts w:ascii="Arial" w:hAnsi="Arial" w:cs="Arial"/>
          <w:b/>
          <w:bCs/>
          <w:i/>
          <w:iCs/>
          <w:color w:val="0070C0"/>
          <w:sz w:val="24"/>
          <w:szCs w:val="24"/>
          <w:lang w:val="it-IT"/>
        </w:rPr>
      </w:pPr>
      <w:r>
        <w:rPr>
          <w:rFonts w:ascii="Arial" w:hAnsi="Arial" w:cs="Arial"/>
          <w:b/>
          <w:bCs/>
          <w:i/>
          <w:iCs/>
          <w:color w:val="0070C0"/>
          <w:sz w:val="24"/>
          <w:szCs w:val="24"/>
          <w:lang w:val="it-IT"/>
        </w:rPr>
        <w:t>R: …</w:t>
      </w:r>
    </w:p>
    <w:p w14:paraId="0214E38A" w14:textId="298855C2" w:rsidR="00780860" w:rsidRDefault="00780860" w:rsidP="00780860">
      <w:pPr>
        <w:jc w:val="both"/>
        <w:rPr>
          <w:rFonts w:ascii="Arial" w:hAnsi="Arial" w:cs="Arial"/>
          <w:b/>
          <w:bCs/>
          <w:i/>
          <w:iCs/>
          <w:sz w:val="24"/>
          <w:szCs w:val="24"/>
          <w:lang w:val="it-IT"/>
        </w:rPr>
      </w:pPr>
      <w:r w:rsidRPr="00A451B1">
        <w:rPr>
          <w:rFonts w:ascii="Arial" w:hAnsi="Arial" w:cs="Arial"/>
          <w:b/>
          <w:bCs/>
          <w:i/>
          <w:iCs/>
          <w:sz w:val="24"/>
          <w:szCs w:val="24"/>
          <w:lang w:val="it-IT"/>
        </w:rPr>
        <w:t>Q31. Si condivide l’orientamento prospettato con riferimento alla determinazione delle tariffe di accesso agli impianti di chiusura del ciclo “aggiuntivi”? Motivare la risposta.</w:t>
      </w:r>
    </w:p>
    <w:p w14:paraId="28DC6C1C" w14:textId="7669CCEB" w:rsidR="00A451B1" w:rsidRDefault="00A451B1" w:rsidP="00390366">
      <w:pPr>
        <w:jc w:val="both"/>
        <w:rPr>
          <w:rFonts w:ascii="Arial" w:hAnsi="Arial" w:cs="Arial"/>
          <w:b/>
          <w:bCs/>
          <w:i/>
          <w:iCs/>
          <w:sz w:val="24"/>
          <w:szCs w:val="24"/>
          <w:lang w:val="it-IT"/>
        </w:rPr>
      </w:pPr>
    </w:p>
    <w:p w14:paraId="1C7C3E43" w14:textId="3100CF2F" w:rsidR="00A451B1" w:rsidRDefault="00A451B1" w:rsidP="00390366">
      <w:pPr>
        <w:jc w:val="both"/>
        <w:rPr>
          <w:rFonts w:ascii="Arial" w:hAnsi="Arial" w:cs="Arial"/>
          <w:b/>
          <w:bCs/>
          <w:i/>
          <w:iCs/>
          <w:color w:val="0070C0"/>
          <w:sz w:val="24"/>
          <w:szCs w:val="24"/>
          <w:lang w:val="it-IT"/>
        </w:rPr>
      </w:pPr>
      <w:r w:rsidRPr="00A451B1">
        <w:rPr>
          <w:rFonts w:ascii="Arial" w:hAnsi="Arial" w:cs="Arial"/>
          <w:b/>
          <w:bCs/>
          <w:i/>
          <w:iCs/>
          <w:color w:val="0070C0"/>
          <w:sz w:val="24"/>
          <w:szCs w:val="24"/>
          <w:lang w:val="it-IT"/>
        </w:rPr>
        <w:t>Effetti delle tariffe di accesso agli impianti di trattamento sui corrispondenti costi riconosciuti</w:t>
      </w:r>
    </w:p>
    <w:p w14:paraId="53D2F6C5" w14:textId="77777777" w:rsidR="00780860" w:rsidRDefault="00780860" w:rsidP="00780860">
      <w:pPr>
        <w:jc w:val="both"/>
        <w:rPr>
          <w:rFonts w:ascii="Arial" w:hAnsi="Arial" w:cs="Arial"/>
          <w:b/>
          <w:bCs/>
          <w:i/>
          <w:iCs/>
          <w:sz w:val="24"/>
          <w:szCs w:val="24"/>
          <w:lang w:val="it-IT"/>
        </w:rPr>
      </w:pPr>
      <w:r w:rsidRPr="00A451B1">
        <w:rPr>
          <w:rFonts w:ascii="Arial" w:hAnsi="Arial" w:cs="Arial"/>
          <w:b/>
          <w:bCs/>
          <w:i/>
          <w:iCs/>
          <w:sz w:val="24"/>
          <w:szCs w:val="24"/>
          <w:lang w:val="it-IT"/>
        </w:rPr>
        <w:t xml:space="preserve">Q32. Si condividono gli orientamenti prospettati con riferimento alla valorizzazione delle componenti di costo </w:t>
      </w:r>
      <w:r w:rsidRPr="00A451B1">
        <w:rPr>
          <w:rFonts w:ascii="Cambria Math" w:hAnsi="Cambria Math" w:cs="Cambria Math"/>
          <w:b/>
          <w:bCs/>
          <w:i/>
          <w:iCs/>
          <w:sz w:val="24"/>
          <w:szCs w:val="24"/>
          <w:lang w:val="it-IT"/>
        </w:rPr>
        <w:t>𝐶𝑇𝑆𝑎</w:t>
      </w:r>
      <w:r w:rsidRPr="00A451B1">
        <w:rPr>
          <w:rFonts w:ascii="Arial" w:hAnsi="Arial" w:cs="Arial"/>
          <w:b/>
          <w:bCs/>
          <w:i/>
          <w:iCs/>
          <w:sz w:val="24"/>
          <w:szCs w:val="24"/>
          <w:lang w:val="it-IT"/>
        </w:rPr>
        <w:t xml:space="preserve"> e </w:t>
      </w:r>
      <w:r w:rsidRPr="00A451B1">
        <w:rPr>
          <w:rFonts w:ascii="Cambria Math" w:hAnsi="Cambria Math" w:cs="Cambria Math"/>
          <w:b/>
          <w:bCs/>
          <w:i/>
          <w:iCs/>
          <w:sz w:val="24"/>
          <w:szCs w:val="24"/>
          <w:lang w:val="it-IT"/>
        </w:rPr>
        <w:t>𝐶𝑇𝑅𝑎</w:t>
      </w:r>
      <w:r w:rsidRPr="00A451B1">
        <w:rPr>
          <w:rFonts w:ascii="Arial" w:hAnsi="Arial" w:cs="Arial"/>
          <w:b/>
          <w:bCs/>
          <w:i/>
          <w:iCs/>
          <w:sz w:val="24"/>
          <w:szCs w:val="24"/>
          <w:lang w:val="it-IT"/>
        </w:rPr>
        <w:t xml:space="preserve">, alla luce dei criteri che l’Autorità intende fissare ai fini della determinazione delle tariffe di accesso agli impianti di trattamento? Motivare la risposta. </w:t>
      </w:r>
    </w:p>
    <w:p w14:paraId="071912D2" w14:textId="61F23561" w:rsidR="00780860" w:rsidRDefault="00780860" w:rsidP="00390366">
      <w:pPr>
        <w:jc w:val="both"/>
        <w:rPr>
          <w:rFonts w:ascii="Arial" w:hAnsi="Arial" w:cs="Arial"/>
          <w:b/>
          <w:bCs/>
          <w:i/>
          <w:iCs/>
          <w:color w:val="0070C0"/>
          <w:sz w:val="24"/>
          <w:szCs w:val="24"/>
          <w:lang w:val="it-IT"/>
        </w:rPr>
      </w:pPr>
    </w:p>
    <w:p w14:paraId="5B592573" w14:textId="77777777" w:rsidR="00761CF8" w:rsidRDefault="00761CF8" w:rsidP="00761CF8">
      <w:pPr>
        <w:jc w:val="both"/>
        <w:rPr>
          <w:rFonts w:ascii="Arial" w:hAnsi="Arial" w:cs="Arial"/>
          <w:b/>
          <w:bCs/>
          <w:i/>
          <w:iCs/>
          <w:color w:val="0070C0"/>
          <w:sz w:val="24"/>
          <w:szCs w:val="24"/>
          <w:lang w:val="it-IT"/>
        </w:rPr>
      </w:pPr>
      <w:r>
        <w:rPr>
          <w:rFonts w:ascii="Arial" w:hAnsi="Arial" w:cs="Arial"/>
          <w:b/>
          <w:bCs/>
          <w:i/>
          <w:iCs/>
          <w:color w:val="0070C0"/>
          <w:sz w:val="24"/>
          <w:szCs w:val="24"/>
          <w:lang w:val="it-IT"/>
        </w:rPr>
        <w:t>R: …</w:t>
      </w:r>
    </w:p>
    <w:p w14:paraId="23F6C5A6" w14:textId="5BEF84E6" w:rsidR="00780860" w:rsidRDefault="00780860" w:rsidP="00390366">
      <w:pPr>
        <w:jc w:val="both"/>
        <w:rPr>
          <w:rFonts w:ascii="Arial" w:hAnsi="Arial" w:cs="Arial"/>
          <w:b/>
          <w:bCs/>
          <w:i/>
          <w:iCs/>
          <w:color w:val="0070C0"/>
          <w:sz w:val="24"/>
          <w:szCs w:val="24"/>
          <w:lang w:val="it-IT"/>
        </w:rPr>
      </w:pPr>
      <w:r w:rsidRPr="00A451B1">
        <w:rPr>
          <w:rFonts w:ascii="Arial" w:hAnsi="Arial" w:cs="Arial"/>
          <w:b/>
          <w:bCs/>
          <w:i/>
          <w:iCs/>
          <w:sz w:val="24"/>
          <w:szCs w:val="24"/>
          <w:lang w:val="it-IT"/>
        </w:rPr>
        <w:t xml:space="preserve">Q33. In particolare, nell’ambito della componente </w:t>
      </w:r>
      <w:r w:rsidRPr="00A451B1">
        <w:rPr>
          <w:rFonts w:ascii="Cambria Math" w:hAnsi="Cambria Math" w:cs="Cambria Math"/>
          <w:b/>
          <w:bCs/>
          <w:i/>
          <w:iCs/>
          <w:sz w:val="24"/>
          <w:szCs w:val="24"/>
          <w:lang w:val="it-IT"/>
        </w:rPr>
        <w:t>𝑅𝐶𝑡𝑜𝑡</w:t>
      </w:r>
      <w:r w:rsidRPr="00A451B1">
        <w:rPr>
          <w:rFonts w:ascii="Arial" w:hAnsi="Arial" w:cs="Arial"/>
          <w:b/>
          <w:bCs/>
          <w:i/>
          <w:iCs/>
          <w:sz w:val="24"/>
          <w:szCs w:val="24"/>
          <w:lang w:val="it-IT"/>
        </w:rPr>
        <w:t xml:space="preserve"> </w:t>
      </w:r>
      <w:proofErr w:type="gramStart"/>
      <w:r w:rsidRPr="00A451B1">
        <w:rPr>
          <w:rFonts w:ascii="Cambria Math" w:hAnsi="Cambria Math" w:cs="Cambria Math"/>
          <w:b/>
          <w:bCs/>
          <w:i/>
          <w:iCs/>
          <w:sz w:val="24"/>
          <w:szCs w:val="24"/>
          <w:lang w:val="it-IT"/>
        </w:rPr>
        <w:t>𝑇𝑉</w:t>
      </w:r>
      <w:r w:rsidRPr="00A451B1">
        <w:rPr>
          <w:rFonts w:ascii="Arial" w:hAnsi="Arial" w:cs="Arial"/>
          <w:b/>
          <w:bCs/>
          <w:i/>
          <w:iCs/>
          <w:sz w:val="24"/>
          <w:szCs w:val="24"/>
          <w:lang w:val="it-IT"/>
        </w:rPr>
        <w:t>,</w:t>
      </w:r>
      <w:r w:rsidRPr="00A451B1">
        <w:rPr>
          <w:rFonts w:ascii="Cambria Math" w:hAnsi="Cambria Math" w:cs="Cambria Math"/>
          <w:b/>
          <w:bCs/>
          <w:i/>
          <w:iCs/>
          <w:sz w:val="24"/>
          <w:szCs w:val="24"/>
          <w:lang w:val="it-IT"/>
        </w:rPr>
        <w:t>𝑎</w:t>
      </w:r>
      <w:proofErr w:type="gramEnd"/>
      <w:r w:rsidRPr="00A451B1">
        <w:rPr>
          <w:rFonts w:ascii="Arial" w:hAnsi="Arial" w:cs="Arial"/>
          <w:b/>
          <w:bCs/>
          <w:i/>
          <w:iCs/>
          <w:sz w:val="24"/>
          <w:szCs w:val="24"/>
          <w:lang w:val="it-IT"/>
        </w:rPr>
        <w:t xml:space="preserve"> , si condivide l’orientamento prospettato in merito alla quantificazione del recupero della differenza tra i costi riconosciuti dell’anno (a-2) conseguenti all’applicazione delle tariffe di accesso agli impianti calcolate sulla base dei criteri fissati dall’Autorità e quanto ricompreso nelle entrate tariffarie riferite alla medesima annualità (a-2) tramite le componenti </w:t>
      </w:r>
      <w:r w:rsidRPr="00A451B1">
        <w:rPr>
          <w:rFonts w:ascii="Cambria Math" w:hAnsi="Cambria Math" w:cs="Cambria Math"/>
          <w:b/>
          <w:bCs/>
          <w:i/>
          <w:iCs/>
          <w:sz w:val="24"/>
          <w:szCs w:val="24"/>
          <w:lang w:val="it-IT"/>
        </w:rPr>
        <w:t>𝐶𝑇𝑆𝑚𝑖𝑛</w:t>
      </w:r>
      <w:r w:rsidRPr="00A451B1">
        <w:rPr>
          <w:rFonts w:ascii="Arial" w:hAnsi="Arial" w:cs="Arial"/>
          <w:b/>
          <w:bCs/>
          <w:i/>
          <w:iCs/>
          <w:sz w:val="24"/>
          <w:szCs w:val="24"/>
          <w:lang w:val="it-IT"/>
        </w:rPr>
        <w:t>,</w:t>
      </w:r>
      <w:r w:rsidRPr="00A451B1">
        <w:rPr>
          <w:rFonts w:ascii="Cambria Math" w:hAnsi="Cambria Math" w:cs="Cambria Math"/>
          <w:b/>
          <w:bCs/>
          <w:i/>
          <w:iCs/>
          <w:sz w:val="24"/>
          <w:szCs w:val="24"/>
          <w:lang w:val="it-IT"/>
        </w:rPr>
        <w:t>𝑎</w:t>
      </w:r>
      <w:r w:rsidRPr="00A451B1">
        <w:rPr>
          <w:rFonts w:ascii="Arial" w:hAnsi="Arial" w:cs="Arial"/>
          <w:b/>
          <w:bCs/>
          <w:i/>
          <w:iCs/>
          <w:sz w:val="24"/>
          <w:szCs w:val="24"/>
          <w:lang w:val="it-IT"/>
        </w:rPr>
        <w:t xml:space="preserve">−2 e </w:t>
      </w:r>
      <w:r w:rsidRPr="00A451B1">
        <w:rPr>
          <w:rFonts w:ascii="Cambria Math" w:hAnsi="Cambria Math" w:cs="Cambria Math"/>
          <w:b/>
          <w:bCs/>
          <w:i/>
          <w:iCs/>
          <w:sz w:val="24"/>
          <w:szCs w:val="24"/>
          <w:lang w:val="it-IT"/>
        </w:rPr>
        <w:t>𝐶𝑇𝑅𝑚𝑖𝑛</w:t>
      </w:r>
      <w:r w:rsidRPr="00A451B1">
        <w:rPr>
          <w:rFonts w:ascii="Arial" w:hAnsi="Arial" w:cs="Arial"/>
          <w:b/>
          <w:bCs/>
          <w:i/>
          <w:iCs/>
          <w:sz w:val="24"/>
          <w:szCs w:val="24"/>
          <w:lang w:val="it-IT"/>
        </w:rPr>
        <w:t>,</w:t>
      </w:r>
      <w:r w:rsidRPr="00A451B1">
        <w:rPr>
          <w:rFonts w:ascii="Cambria Math" w:hAnsi="Cambria Math" w:cs="Cambria Math"/>
          <w:b/>
          <w:bCs/>
          <w:i/>
          <w:iCs/>
          <w:sz w:val="24"/>
          <w:szCs w:val="24"/>
          <w:lang w:val="it-IT"/>
        </w:rPr>
        <w:t>𝑎</w:t>
      </w:r>
      <w:r w:rsidRPr="00A451B1">
        <w:rPr>
          <w:rFonts w:ascii="Arial" w:hAnsi="Arial" w:cs="Arial"/>
          <w:b/>
          <w:bCs/>
          <w:i/>
          <w:iCs/>
          <w:sz w:val="24"/>
          <w:szCs w:val="24"/>
          <w:lang w:val="it-IT"/>
        </w:rPr>
        <w:t xml:space="preserve">−2? Si ritiene condivisibile il valore prospettato con riferimento alla soglia di significatività </w:t>
      </w:r>
      <w:r w:rsidRPr="00A451B1">
        <w:rPr>
          <w:rFonts w:ascii="Cambria Math" w:hAnsi="Cambria Math" w:cs="Cambria Math"/>
          <w:b/>
          <w:bCs/>
          <w:i/>
          <w:iCs/>
          <w:sz w:val="24"/>
          <w:szCs w:val="24"/>
          <w:lang w:val="it-IT"/>
        </w:rPr>
        <w:t>𝜀</w:t>
      </w:r>
      <w:r w:rsidRPr="00A451B1">
        <w:rPr>
          <w:rFonts w:ascii="Arial" w:hAnsi="Arial" w:cs="Arial"/>
          <w:b/>
          <w:bCs/>
          <w:i/>
          <w:iCs/>
          <w:sz w:val="24"/>
          <w:szCs w:val="24"/>
          <w:lang w:val="it-IT"/>
        </w:rPr>
        <w:t xml:space="preserve"> e l’orientamento espresso in ordine all’introduzione di meccanismo di gradualità per il recupero dello scostamento in discorso? Motivare la risposta.</w:t>
      </w:r>
    </w:p>
    <w:p w14:paraId="05FE856C" w14:textId="77777777" w:rsidR="00761CF8" w:rsidRDefault="00761CF8" w:rsidP="00761CF8">
      <w:pPr>
        <w:jc w:val="both"/>
        <w:rPr>
          <w:rFonts w:ascii="Arial" w:hAnsi="Arial" w:cs="Arial"/>
          <w:b/>
          <w:bCs/>
          <w:i/>
          <w:iCs/>
          <w:color w:val="0070C0"/>
          <w:sz w:val="24"/>
          <w:szCs w:val="24"/>
          <w:lang w:val="it-IT"/>
        </w:rPr>
      </w:pPr>
      <w:r>
        <w:rPr>
          <w:rFonts w:ascii="Arial" w:hAnsi="Arial" w:cs="Arial"/>
          <w:b/>
          <w:bCs/>
          <w:i/>
          <w:iCs/>
          <w:color w:val="0070C0"/>
          <w:sz w:val="24"/>
          <w:szCs w:val="24"/>
          <w:lang w:val="it-IT"/>
        </w:rPr>
        <w:t>R: …</w:t>
      </w:r>
    </w:p>
    <w:p w14:paraId="02DE30A4" w14:textId="181554B3" w:rsidR="00A451B1" w:rsidRDefault="00A451B1" w:rsidP="00390366">
      <w:pPr>
        <w:jc w:val="both"/>
        <w:rPr>
          <w:rFonts w:ascii="Arial" w:hAnsi="Arial" w:cs="Arial"/>
          <w:b/>
          <w:bCs/>
          <w:color w:val="0070C0"/>
          <w:sz w:val="24"/>
          <w:szCs w:val="24"/>
          <w:lang w:val="it-IT"/>
        </w:rPr>
      </w:pPr>
    </w:p>
    <w:p w14:paraId="055F24CF" w14:textId="211EC6E4" w:rsidR="00A451B1" w:rsidRDefault="00A451B1" w:rsidP="00390366">
      <w:pPr>
        <w:jc w:val="both"/>
        <w:rPr>
          <w:rFonts w:ascii="Arial" w:hAnsi="Arial" w:cs="Arial"/>
          <w:b/>
          <w:bCs/>
          <w:color w:val="0070C0"/>
          <w:sz w:val="24"/>
          <w:szCs w:val="24"/>
          <w:lang w:val="it-IT"/>
        </w:rPr>
      </w:pPr>
      <w:r>
        <w:rPr>
          <w:rFonts w:ascii="Arial" w:hAnsi="Arial" w:cs="Arial"/>
          <w:b/>
          <w:bCs/>
          <w:color w:val="0070C0"/>
          <w:sz w:val="24"/>
          <w:szCs w:val="24"/>
          <w:lang w:val="it-IT"/>
        </w:rPr>
        <w:t>Valore di subentro</w:t>
      </w:r>
    </w:p>
    <w:p w14:paraId="164D3250" w14:textId="77777777" w:rsidR="00780860" w:rsidRDefault="00780860" w:rsidP="00780860">
      <w:pPr>
        <w:jc w:val="both"/>
        <w:rPr>
          <w:rFonts w:ascii="Arial" w:hAnsi="Arial" w:cs="Arial"/>
          <w:b/>
          <w:bCs/>
          <w:i/>
          <w:iCs/>
          <w:sz w:val="24"/>
          <w:szCs w:val="24"/>
          <w:lang w:val="it-IT"/>
        </w:rPr>
      </w:pPr>
      <w:r w:rsidRPr="00A451B1">
        <w:rPr>
          <w:rFonts w:ascii="Arial" w:hAnsi="Arial" w:cs="Arial"/>
          <w:b/>
          <w:bCs/>
          <w:i/>
          <w:iCs/>
          <w:sz w:val="24"/>
          <w:szCs w:val="24"/>
          <w:lang w:val="it-IT"/>
        </w:rPr>
        <w:t xml:space="preserve">Q34. Si ritengono condivisibili i criteri prospettati per la quantificazione del valore residuo di subentro al momento dell’avvicendamento gestionale? Motivare la risposta. </w:t>
      </w:r>
    </w:p>
    <w:p w14:paraId="10512F25" w14:textId="77777777" w:rsidR="00761CF8" w:rsidRDefault="00761CF8" w:rsidP="00761CF8">
      <w:pPr>
        <w:jc w:val="both"/>
        <w:rPr>
          <w:rFonts w:ascii="Arial" w:hAnsi="Arial" w:cs="Arial"/>
          <w:b/>
          <w:bCs/>
          <w:i/>
          <w:iCs/>
          <w:color w:val="0070C0"/>
          <w:sz w:val="24"/>
          <w:szCs w:val="24"/>
          <w:lang w:val="it-IT"/>
        </w:rPr>
      </w:pPr>
      <w:r>
        <w:rPr>
          <w:rFonts w:ascii="Arial" w:hAnsi="Arial" w:cs="Arial"/>
          <w:b/>
          <w:bCs/>
          <w:i/>
          <w:iCs/>
          <w:color w:val="0070C0"/>
          <w:sz w:val="24"/>
          <w:szCs w:val="24"/>
          <w:lang w:val="it-IT"/>
        </w:rPr>
        <w:t>R: …</w:t>
      </w:r>
    </w:p>
    <w:p w14:paraId="356D03F6" w14:textId="77777777" w:rsidR="00780860" w:rsidRDefault="00780860" w:rsidP="00780860">
      <w:pPr>
        <w:jc w:val="both"/>
        <w:rPr>
          <w:rFonts w:ascii="Arial" w:hAnsi="Arial" w:cs="Arial"/>
          <w:b/>
          <w:bCs/>
          <w:i/>
          <w:iCs/>
          <w:sz w:val="24"/>
          <w:szCs w:val="24"/>
          <w:lang w:val="it-IT"/>
        </w:rPr>
      </w:pPr>
      <w:r w:rsidRPr="00A451B1">
        <w:rPr>
          <w:rFonts w:ascii="Arial" w:hAnsi="Arial" w:cs="Arial"/>
          <w:b/>
          <w:bCs/>
          <w:i/>
          <w:iCs/>
          <w:sz w:val="24"/>
          <w:szCs w:val="24"/>
          <w:lang w:val="it-IT"/>
        </w:rPr>
        <w:t>Q35. Si condivide l’opportunità di definire le modalità per il riconoscimento del valore di subentro nell’ambito del procedimento deliberazione 362/2020/R/RIF? Motivare la risposta.</w:t>
      </w:r>
    </w:p>
    <w:p w14:paraId="158A46AE" w14:textId="77777777" w:rsidR="00761CF8" w:rsidRDefault="00761CF8" w:rsidP="00761CF8">
      <w:pPr>
        <w:jc w:val="both"/>
        <w:rPr>
          <w:rFonts w:ascii="Arial" w:hAnsi="Arial" w:cs="Arial"/>
          <w:b/>
          <w:bCs/>
          <w:i/>
          <w:iCs/>
          <w:color w:val="0070C0"/>
          <w:sz w:val="24"/>
          <w:szCs w:val="24"/>
          <w:lang w:val="it-IT"/>
        </w:rPr>
      </w:pPr>
      <w:r>
        <w:rPr>
          <w:rFonts w:ascii="Arial" w:hAnsi="Arial" w:cs="Arial"/>
          <w:b/>
          <w:bCs/>
          <w:i/>
          <w:iCs/>
          <w:color w:val="0070C0"/>
          <w:sz w:val="24"/>
          <w:szCs w:val="24"/>
          <w:lang w:val="it-IT"/>
        </w:rPr>
        <w:t>R: …</w:t>
      </w:r>
    </w:p>
    <w:p w14:paraId="6D971C98" w14:textId="77777777" w:rsidR="00780860" w:rsidRDefault="00780860" w:rsidP="00390366">
      <w:pPr>
        <w:jc w:val="both"/>
        <w:rPr>
          <w:rFonts w:ascii="Arial" w:hAnsi="Arial" w:cs="Arial"/>
          <w:b/>
          <w:bCs/>
          <w:color w:val="0070C0"/>
          <w:sz w:val="24"/>
          <w:szCs w:val="24"/>
          <w:lang w:val="it-IT"/>
        </w:rPr>
      </w:pPr>
    </w:p>
    <w:p w14:paraId="33448A3E" w14:textId="20B781B2" w:rsidR="00A451B1" w:rsidRDefault="00A451B1" w:rsidP="00390366">
      <w:pPr>
        <w:jc w:val="both"/>
        <w:rPr>
          <w:rFonts w:ascii="Arial" w:hAnsi="Arial" w:cs="Arial"/>
          <w:b/>
          <w:bCs/>
          <w:color w:val="0070C0"/>
          <w:sz w:val="24"/>
          <w:szCs w:val="24"/>
          <w:lang w:val="it-IT"/>
        </w:rPr>
      </w:pPr>
      <w:r w:rsidRPr="00A451B1">
        <w:rPr>
          <w:rFonts w:ascii="Arial" w:hAnsi="Arial" w:cs="Arial"/>
          <w:b/>
          <w:bCs/>
          <w:color w:val="0070C0"/>
          <w:sz w:val="24"/>
          <w:szCs w:val="24"/>
          <w:lang w:val="it-IT"/>
        </w:rPr>
        <w:t>Contenuti minimi e modalità di aggiornamento del PEF del servizio integrato di gestione dei rifiuti urbani</w:t>
      </w:r>
    </w:p>
    <w:p w14:paraId="41E30AC6" w14:textId="77777777" w:rsidR="00780860" w:rsidRDefault="00780860" w:rsidP="00780860">
      <w:pPr>
        <w:jc w:val="both"/>
        <w:rPr>
          <w:rFonts w:ascii="Arial" w:hAnsi="Arial" w:cs="Arial"/>
          <w:b/>
          <w:bCs/>
          <w:i/>
          <w:iCs/>
          <w:sz w:val="24"/>
          <w:szCs w:val="24"/>
          <w:lang w:val="it-IT"/>
        </w:rPr>
      </w:pPr>
      <w:r w:rsidRPr="00A451B1">
        <w:rPr>
          <w:rFonts w:ascii="Arial" w:hAnsi="Arial" w:cs="Arial"/>
          <w:b/>
          <w:bCs/>
          <w:i/>
          <w:iCs/>
          <w:sz w:val="24"/>
          <w:szCs w:val="24"/>
          <w:lang w:val="it-IT"/>
        </w:rPr>
        <w:t xml:space="preserve">Q36. Si condividono i contenuti minimi prospettati dall’Autorità con riferimento al PEF per il periodo regolatorio 2022-2025? Quali ulteriori elementi si ritiene utile considerare? Motivare la risposta. </w:t>
      </w:r>
    </w:p>
    <w:p w14:paraId="74C64970" w14:textId="77777777" w:rsidR="00761CF8" w:rsidRDefault="00761CF8" w:rsidP="00761CF8">
      <w:pPr>
        <w:jc w:val="both"/>
        <w:rPr>
          <w:rFonts w:ascii="Arial" w:hAnsi="Arial" w:cs="Arial"/>
          <w:b/>
          <w:bCs/>
          <w:i/>
          <w:iCs/>
          <w:color w:val="0070C0"/>
          <w:sz w:val="24"/>
          <w:szCs w:val="24"/>
          <w:lang w:val="it-IT"/>
        </w:rPr>
      </w:pPr>
      <w:r>
        <w:rPr>
          <w:rFonts w:ascii="Arial" w:hAnsi="Arial" w:cs="Arial"/>
          <w:b/>
          <w:bCs/>
          <w:i/>
          <w:iCs/>
          <w:color w:val="0070C0"/>
          <w:sz w:val="24"/>
          <w:szCs w:val="24"/>
          <w:lang w:val="it-IT"/>
        </w:rPr>
        <w:t>R: …</w:t>
      </w:r>
    </w:p>
    <w:p w14:paraId="35DB6B27" w14:textId="77777777" w:rsidR="00761CF8" w:rsidRDefault="00780860" w:rsidP="00780860">
      <w:pPr>
        <w:jc w:val="both"/>
        <w:rPr>
          <w:rFonts w:ascii="Arial" w:hAnsi="Arial" w:cs="Arial"/>
          <w:b/>
          <w:bCs/>
          <w:i/>
          <w:iCs/>
          <w:sz w:val="24"/>
          <w:szCs w:val="24"/>
          <w:lang w:val="it-IT"/>
        </w:rPr>
      </w:pPr>
      <w:r w:rsidRPr="00A451B1">
        <w:rPr>
          <w:rFonts w:ascii="Arial" w:hAnsi="Arial" w:cs="Arial"/>
          <w:b/>
          <w:bCs/>
          <w:i/>
          <w:iCs/>
          <w:sz w:val="24"/>
          <w:szCs w:val="24"/>
          <w:lang w:val="it-IT"/>
        </w:rPr>
        <w:t xml:space="preserve">Q37. Si ritiene opportuno prevedere un termine entro cui il gestore deve provvedere a trasmettere all'Ente territorialmente competente il piano economico finanziario, al fine di garantire a quest'ultimo la tempistica necessaria a consentire l'approvazione dei corrispettivi per il 2022 nel rispetto dei termini previsti dalla legge? Motivare la risposta. </w:t>
      </w:r>
    </w:p>
    <w:p w14:paraId="3DAA756F" w14:textId="77777777" w:rsidR="00761CF8" w:rsidRDefault="00761CF8" w:rsidP="00761CF8">
      <w:pPr>
        <w:jc w:val="both"/>
        <w:rPr>
          <w:rFonts w:ascii="Arial" w:hAnsi="Arial" w:cs="Arial"/>
          <w:b/>
          <w:bCs/>
          <w:i/>
          <w:iCs/>
          <w:color w:val="0070C0"/>
          <w:sz w:val="24"/>
          <w:szCs w:val="24"/>
          <w:lang w:val="it-IT"/>
        </w:rPr>
      </w:pPr>
      <w:r>
        <w:rPr>
          <w:rFonts w:ascii="Arial" w:hAnsi="Arial" w:cs="Arial"/>
          <w:b/>
          <w:bCs/>
          <w:i/>
          <w:iCs/>
          <w:color w:val="0070C0"/>
          <w:sz w:val="24"/>
          <w:szCs w:val="24"/>
          <w:lang w:val="it-IT"/>
        </w:rPr>
        <w:t>R: …</w:t>
      </w:r>
    </w:p>
    <w:p w14:paraId="7C8AB8B6" w14:textId="6BDA6ED9" w:rsidR="00780860" w:rsidRDefault="00780860" w:rsidP="00780860">
      <w:pPr>
        <w:jc w:val="both"/>
        <w:rPr>
          <w:rFonts w:ascii="Arial" w:hAnsi="Arial" w:cs="Arial"/>
          <w:b/>
          <w:bCs/>
          <w:i/>
          <w:iCs/>
          <w:sz w:val="24"/>
          <w:szCs w:val="24"/>
          <w:lang w:val="it-IT"/>
        </w:rPr>
      </w:pPr>
      <w:r w:rsidRPr="00A451B1">
        <w:rPr>
          <w:rFonts w:ascii="Arial" w:hAnsi="Arial" w:cs="Arial"/>
          <w:b/>
          <w:bCs/>
          <w:i/>
          <w:iCs/>
          <w:sz w:val="24"/>
          <w:szCs w:val="24"/>
          <w:lang w:val="it-IT"/>
        </w:rPr>
        <w:t xml:space="preserve">Q38. Si ritiene condivisibile l’ipotesi di considerare come inerzia del gestore il mancato rispetto della tempistica per la trasmissione del piano economico finanziario, prevedendo la facoltà per l’Ente territorialmente competente di predisporre il piano medesimo sulla base degli elementi a disposizione e comunque esclusi incrementi dei corrispettivi? Motivare la risposta. </w:t>
      </w:r>
    </w:p>
    <w:p w14:paraId="4F67FAFD" w14:textId="77777777" w:rsidR="00761CF8" w:rsidRDefault="00761CF8" w:rsidP="00761CF8">
      <w:pPr>
        <w:jc w:val="both"/>
        <w:rPr>
          <w:rFonts w:ascii="Arial" w:hAnsi="Arial" w:cs="Arial"/>
          <w:b/>
          <w:bCs/>
          <w:i/>
          <w:iCs/>
          <w:color w:val="0070C0"/>
          <w:sz w:val="24"/>
          <w:szCs w:val="24"/>
          <w:lang w:val="it-IT"/>
        </w:rPr>
      </w:pPr>
      <w:r>
        <w:rPr>
          <w:rFonts w:ascii="Arial" w:hAnsi="Arial" w:cs="Arial"/>
          <w:b/>
          <w:bCs/>
          <w:i/>
          <w:iCs/>
          <w:color w:val="0070C0"/>
          <w:sz w:val="24"/>
          <w:szCs w:val="24"/>
          <w:lang w:val="it-IT"/>
        </w:rPr>
        <w:t>R: …</w:t>
      </w:r>
    </w:p>
    <w:p w14:paraId="38E8D209" w14:textId="77777777" w:rsidR="00780860" w:rsidRDefault="00780860" w:rsidP="00780860">
      <w:pPr>
        <w:jc w:val="both"/>
        <w:rPr>
          <w:rFonts w:ascii="Arial" w:hAnsi="Arial" w:cs="Arial"/>
          <w:b/>
          <w:bCs/>
          <w:i/>
          <w:iCs/>
          <w:sz w:val="24"/>
          <w:szCs w:val="24"/>
          <w:lang w:val="it-IT"/>
        </w:rPr>
      </w:pPr>
      <w:r w:rsidRPr="00A451B1">
        <w:rPr>
          <w:rFonts w:ascii="Arial" w:hAnsi="Arial" w:cs="Arial"/>
          <w:b/>
          <w:bCs/>
          <w:i/>
          <w:iCs/>
          <w:sz w:val="24"/>
          <w:szCs w:val="24"/>
          <w:lang w:val="it-IT"/>
        </w:rPr>
        <w:t>Q39. Si ritiene opportuno suggerire ulteriori elementi di cui tener conto ai fini della schematizzazione delle attività e delle procedure che interessano i diversi soggetti coinvolti nella definizione delle tariffe da applicare agli utenti? Motivare la risposta.</w:t>
      </w:r>
    </w:p>
    <w:p w14:paraId="6314A9AE" w14:textId="77777777" w:rsidR="00761CF8" w:rsidRDefault="00761CF8" w:rsidP="00761CF8">
      <w:pPr>
        <w:jc w:val="both"/>
        <w:rPr>
          <w:rFonts w:ascii="Arial" w:hAnsi="Arial" w:cs="Arial"/>
          <w:b/>
          <w:bCs/>
          <w:i/>
          <w:iCs/>
          <w:color w:val="0070C0"/>
          <w:sz w:val="24"/>
          <w:szCs w:val="24"/>
          <w:lang w:val="it-IT"/>
        </w:rPr>
      </w:pPr>
      <w:r>
        <w:rPr>
          <w:rFonts w:ascii="Arial" w:hAnsi="Arial" w:cs="Arial"/>
          <w:b/>
          <w:bCs/>
          <w:i/>
          <w:iCs/>
          <w:color w:val="0070C0"/>
          <w:sz w:val="24"/>
          <w:szCs w:val="24"/>
          <w:lang w:val="it-IT"/>
        </w:rPr>
        <w:t>R: …</w:t>
      </w:r>
    </w:p>
    <w:sectPr w:rsidR="00761CF8" w:rsidSect="00761CF8">
      <w:pgSz w:w="12240" w:h="15840"/>
      <w:pgMar w:top="1134" w:right="1440" w:bottom="99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83193"/>
    <w:multiLevelType w:val="singleLevel"/>
    <w:tmpl w:val="7036927F"/>
    <w:lvl w:ilvl="0">
      <w:start w:val="2"/>
      <w:numFmt w:val="decimal"/>
      <w:lvlText w:val="Q%1."/>
      <w:lvlJc w:val="left"/>
      <w:pPr>
        <w:tabs>
          <w:tab w:val="num" w:pos="864"/>
        </w:tabs>
        <w:ind w:left="864" w:hanging="720"/>
      </w:pPr>
      <w:rPr>
        <w:i/>
        <w:iCs/>
        <w:snapToGrid/>
        <w:color w:val="000000"/>
        <w:spacing w:val="-2"/>
        <w:sz w:val="23"/>
        <w:szCs w:val="23"/>
      </w:rPr>
    </w:lvl>
  </w:abstractNum>
  <w:abstractNum w:abstractNumId="1" w15:restartNumberingAfterBreak="0">
    <w:nsid w:val="051A3448"/>
    <w:multiLevelType w:val="singleLevel"/>
    <w:tmpl w:val="7A693E3C"/>
    <w:lvl w:ilvl="0">
      <w:start w:val="8"/>
      <w:numFmt w:val="decimal"/>
      <w:lvlText w:val="Q%1."/>
      <w:lvlJc w:val="left"/>
      <w:pPr>
        <w:tabs>
          <w:tab w:val="num" w:pos="864"/>
        </w:tabs>
        <w:ind w:left="864" w:hanging="720"/>
      </w:pPr>
      <w:rPr>
        <w:i/>
        <w:iCs/>
        <w:snapToGrid/>
        <w:color w:val="000000"/>
        <w:sz w:val="24"/>
        <w:szCs w:val="24"/>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B75"/>
    <w:rsid w:val="001C2275"/>
    <w:rsid w:val="00325410"/>
    <w:rsid w:val="00377C8C"/>
    <w:rsid w:val="0038085D"/>
    <w:rsid w:val="00390366"/>
    <w:rsid w:val="00477781"/>
    <w:rsid w:val="004B3942"/>
    <w:rsid w:val="00562B75"/>
    <w:rsid w:val="0060309F"/>
    <w:rsid w:val="00761CF8"/>
    <w:rsid w:val="00780860"/>
    <w:rsid w:val="00975794"/>
    <w:rsid w:val="009D51AC"/>
    <w:rsid w:val="00A451B1"/>
    <w:rsid w:val="00B46B7C"/>
    <w:rsid w:val="00B47600"/>
    <w:rsid w:val="00D16D02"/>
    <w:rsid w:val="00D27403"/>
    <w:rsid w:val="00DD644B"/>
    <w:rsid w:val="00E70B8E"/>
    <w:rsid w:val="00F108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6BCCB"/>
  <w15:chartTrackingRefBased/>
  <w15:docId w15:val="{983FBC50-4012-439F-AD46-2E90DC035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451B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562B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679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l.tosto@fise.org"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2129</Words>
  <Characters>12141</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Tosto</dc:creator>
  <cp:keywords/>
  <dc:description/>
  <cp:lastModifiedBy>nota</cp:lastModifiedBy>
  <cp:revision>2</cp:revision>
  <dcterms:created xsi:type="dcterms:W3CDTF">2021-07-05T17:24:00Z</dcterms:created>
  <dcterms:modified xsi:type="dcterms:W3CDTF">2021-07-05T17:24:00Z</dcterms:modified>
</cp:coreProperties>
</file>